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819DE5" w14:textId="10228FE7" w:rsidR="00A04198" w:rsidRPr="00075913" w:rsidRDefault="00BA370B" w:rsidP="00A04198">
      <w:pPr>
        <w:jc w:val="center"/>
        <w:rPr>
          <w:rFonts w:ascii="Century Schoolbook" w:hAnsi="Century Schoolbook" w:cstheme="minorHAnsi"/>
          <w:b/>
          <w:bCs/>
          <w:sz w:val="16"/>
          <w:szCs w:val="16"/>
          <w:u w:val="single"/>
        </w:rPr>
      </w:pPr>
      <w:r w:rsidRPr="00075913">
        <w:rPr>
          <w:rFonts w:ascii="Century Schoolbook" w:hAnsi="Century Schoolbook" w:cstheme="minorHAnsi"/>
          <w:b/>
          <w:bCs/>
          <w:sz w:val="16"/>
          <w:szCs w:val="16"/>
          <w:u w:val="single"/>
        </w:rPr>
        <w:t>Prognostikon in real time #</w:t>
      </w:r>
      <w:r w:rsidR="002E1C4F" w:rsidRPr="00075913">
        <w:rPr>
          <w:rFonts w:ascii="Century Schoolbook" w:hAnsi="Century Schoolbook" w:cstheme="minorHAnsi"/>
          <w:b/>
          <w:bCs/>
          <w:sz w:val="16"/>
          <w:szCs w:val="16"/>
          <w:u w:val="single"/>
        </w:rPr>
        <w:t>2</w:t>
      </w:r>
      <w:r w:rsidR="00C27366" w:rsidRPr="00075913">
        <w:rPr>
          <w:rFonts w:ascii="Century Schoolbook" w:hAnsi="Century Schoolbook" w:cstheme="minorHAnsi"/>
          <w:b/>
          <w:bCs/>
          <w:sz w:val="16"/>
          <w:szCs w:val="16"/>
          <w:u w:val="single"/>
        </w:rPr>
        <w:t>1</w:t>
      </w:r>
      <w:r w:rsidRPr="00075913">
        <w:rPr>
          <w:rFonts w:ascii="Century Schoolbook" w:hAnsi="Century Schoolbook" w:cstheme="minorHAnsi"/>
          <w:b/>
          <w:bCs/>
          <w:sz w:val="16"/>
          <w:szCs w:val="16"/>
          <w:u w:val="single"/>
        </w:rPr>
        <w:t>, week ending</w:t>
      </w:r>
      <w:r w:rsidR="00A04198" w:rsidRPr="00075913">
        <w:rPr>
          <w:rFonts w:ascii="Century Schoolbook" w:hAnsi="Century Schoolbook" w:cstheme="minorHAnsi"/>
          <w:b/>
          <w:bCs/>
          <w:sz w:val="16"/>
          <w:szCs w:val="16"/>
          <w:u w:val="single"/>
        </w:rPr>
        <w:t xml:space="preserve"> Friday, </w:t>
      </w:r>
      <w:r w:rsidR="00C27366" w:rsidRPr="00075913">
        <w:rPr>
          <w:rFonts w:ascii="Century Schoolbook" w:hAnsi="Century Schoolbook" w:cstheme="minorHAnsi"/>
          <w:b/>
          <w:bCs/>
          <w:sz w:val="16"/>
          <w:szCs w:val="16"/>
          <w:u w:val="single"/>
        </w:rPr>
        <w:t>16</w:t>
      </w:r>
      <w:r w:rsidR="002E1C4F" w:rsidRPr="00075913">
        <w:rPr>
          <w:rFonts w:ascii="Century Schoolbook" w:hAnsi="Century Schoolbook" w:cstheme="minorHAnsi"/>
          <w:b/>
          <w:bCs/>
          <w:sz w:val="16"/>
          <w:szCs w:val="16"/>
          <w:u w:val="single"/>
        </w:rPr>
        <w:t>th</w:t>
      </w:r>
      <w:r w:rsidR="009B3008" w:rsidRPr="00075913">
        <w:rPr>
          <w:rFonts w:ascii="Century Schoolbook" w:hAnsi="Century Schoolbook" w:cstheme="minorHAnsi"/>
          <w:b/>
          <w:bCs/>
          <w:sz w:val="16"/>
          <w:szCs w:val="16"/>
          <w:u w:val="single"/>
        </w:rPr>
        <w:t xml:space="preserve"> </w:t>
      </w:r>
      <w:r w:rsidR="00352F93" w:rsidRPr="00075913">
        <w:rPr>
          <w:rFonts w:ascii="Century Schoolbook" w:hAnsi="Century Schoolbook" w:cstheme="minorHAnsi"/>
          <w:b/>
          <w:bCs/>
          <w:sz w:val="16"/>
          <w:szCs w:val="16"/>
          <w:u w:val="single"/>
          <w:vertAlign w:val="superscript"/>
        </w:rPr>
        <w:t xml:space="preserve">  </w:t>
      </w:r>
      <w:r w:rsidR="00A04198" w:rsidRPr="00075913">
        <w:rPr>
          <w:rFonts w:ascii="Century Schoolbook" w:hAnsi="Century Schoolbook" w:cstheme="minorHAnsi"/>
          <w:b/>
          <w:bCs/>
          <w:sz w:val="16"/>
          <w:szCs w:val="16"/>
          <w:u w:val="single"/>
        </w:rPr>
        <w:t xml:space="preserve"> </w:t>
      </w:r>
      <w:r w:rsidR="009B3008" w:rsidRPr="00075913">
        <w:rPr>
          <w:rFonts w:ascii="Century Schoolbook" w:hAnsi="Century Schoolbook" w:cstheme="minorHAnsi"/>
          <w:b/>
          <w:bCs/>
          <w:sz w:val="16"/>
          <w:szCs w:val="16"/>
          <w:u w:val="single"/>
        </w:rPr>
        <w:t>February</w:t>
      </w:r>
      <w:r w:rsidR="00352F93" w:rsidRPr="00075913">
        <w:rPr>
          <w:rFonts w:ascii="Century Schoolbook" w:hAnsi="Century Schoolbook" w:cstheme="minorHAnsi"/>
          <w:b/>
          <w:bCs/>
          <w:sz w:val="16"/>
          <w:szCs w:val="16"/>
          <w:u w:val="single"/>
        </w:rPr>
        <w:t xml:space="preserve"> 2024</w:t>
      </w:r>
    </w:p>
    <w:p w14:paraId="3A4C934C" w14:textId="69978839" w:rsidR="00BA370B" w:rsidRPr="00075913" w:rsidRDefault="00BA370B" w:rsidP="00A04198">
      <w:pPr>
        <w:jc w:val="center"/>
        <w:rPr>
          <w:rFonts w:ascii="Century Schoolbook" w:hAnsi="Century Schoolbook" w:cstheme="minorHAnsi"/>
          <w:sz w:val="16"/>
          <w:szCs w:val="16"/>
          <w:u w:val="single"/>
        </w:rPr>
      </w:pPr>
      <w:r w:rsidRPr="00075913">
        <w:rPr>
          <w:rFonts w:ascii="Century Schoolbook" w:hAnsi="Century Schoolbook" w:cstheme="minorHAnsi"/>
          <w:b/>
          <w:bCs/>
          <w:sz w:val="16"/>
          <w:szCs w:val="16"/>
          <w:u w:val="single"/>
        </w:rPr>
        <w:t>Performance attribution</w:t>
      </w:r>
    </w:p>
    <w:p w14:paraId="500EA434" w14:textId="6881B247" w:rsidR="00C27366" w:rsidRPr="00075913" w:rsidRDefault="00A04198" w:rsidP="00BA370B">
      <w:pPr>
        <w:jc w:val="both"/>
        <w:rPr>
          <w:rFonts w:ascii="Century Schoolbook" w:hAnsi="Century Schoolbook" w:cstheme="minorHAnsi"/>
          <w:sz w:val="16"/>
          <w:szCs w:val="16"/>
        </w:rPr>
      </w:pPr>
      <w:r w:rsidRPr="00075913">
        <w:rPr>
          <w:rFonts w:ascii="Century Schoolbook" w:hAnsi="Century Schoolbook" w:cstheme="minorHAnsi"/>
          <w:b/>
          <w:bCs/>
          <w:sz w:val="16"/>
          <w:szCs w:val="16"/>
          <w:u w:val="single"/>
        </w:rPr>
        <w:t>Overview:</w:t>
      </w:r>
      <w:r w:rsidRPr="00075913">
        <w:rPr>
          <w:rFonts w:ascii="Century Schoolbook" w:hAnsi="Century Schoolbook" w:cstheme="minorHAnsi"/>
          <w:sz w:val="16"/>
          <w:szCs w:val="16"/>
        </w:rPr>
        <w:t xml:space="preserve"> In the pursuit of accurate trading forecasts, a comprehensive analysis of the </w:t>
      </w:r>
      <w:r w:rsidR="00075913" w:rsidRPr="00075913">
        <w:rPr>
          <w:rFonts w:ascii="Century Schoolbook" w:hAnsi="Century Schoolbook" w:cstheme="minorHAnsi"/>
          <w:sz w:val="16"/>
          <w:szCs w:val="16"/>
        </w:rPr>
        <w:t>percentage</w:t>
      </w:r>
      <w:r w:rsidRPr="00075913">
        <w:rPr>
          <w:rFonts w:ascii="Century Schoolbook" w:hAnsi="Century Schoolbook" w:cstheme="minorHAnsi"/>
          <w:sz w:val="16"/>
          <w:szCs w:val="16"/>
        </w:rPr>
        <w:t xml:space="preserve"> of correct predictions for various trading directions across diverse financial instruments is conducted. The data encompasses Commodities, Crypto, Currency, Fixed Income, Geography, Indices, and Sectors. The focus is on the trading positions of Long and Short during the</w:t>
      </w:r>
      <w:r w:rsidR="003F23FC" w:rsidRPr="00075913">
        <w:rPr>
          <w:rFonts w:ascii="Century Schoolbook" w:hAnsi="Century Schoolbook" w:cstheme="minorHAnsi"/>
          <w:sz w:val="16"/>
          <w:szCs w:val="16"/>
        </w:rPr>
        <w:t xml:space="preserve"> previous week,</w:t>
      </w:r>
      <w:r w:rsidRPr="00075913">
        <w:rPr>
          <w:rFonts w:ascii="Century Schoolbook" w:hAnsi="Century Schoolbook" w:cstheme="minorHAnsi"/>
          <w:sz w:val="16"/>
          <w:szCs w:val="16"/>
        </w:rPr>
        <w:t xml:space="preserve"> </w:t>
      </w:r>
      <w:r w:rsidR="002E1C4F" w:rsidRPr="00075913">
        <w:rPr>
          <w:rFonts w:ascii="Century Schoolbook" w:hAnsi="Century Schoolbook" w:cstheme="minorHAnsi"/>
          <w:sz w:val="16"/>
          <w:szCs w:val="16"/>
        </w:rPr>
        <w:t>February</w:t>
      </w:r>
      <w:r w:rsidR="00465572" w:rsidRPr="00075913">
        <w:rPr>
          <w:rFonts w:ascii="Century Schoolbook" w:hAnsi="Century Schoolbook" w:cstheme="minorHAnsi"/>
          <w:sz w:val="16"/>
          <w:szCs w:val="16"/>
        </w:rPr>
        <w:t xml:space="preserve"> </w:t>
      </w:r>
      <w:r w:rsidR="00C27366" w:rsidRPr="00075913">
        <w:rPr>
          <w:rFonts w:ascii="Century Schoolbook" w:hAnsi="Century Schoolbook" w:cstheme="minorHAnsi"/>
          <w:sz w:val="16"/>
          <w:szCs w:val="16"/>
        </w:rPr>
        <w:t>12</w:t>
      </w:r>
      <w:r w:rsidR="002247F6" w:rsidRPr="00075913">
        <w:rPr>
          <w:rFonts w:ascii="Century Schoolbook" w:hAnsi="Century Schoolbook" w:cstheme="minorHAnsi"/>
          <w:sz w:val="16"/>
          <w:szCs w:val="16"/>
          <w:vertAlign w:val="superscript"/>
        </w:rPr>
        <w:t>th</w:t>
      </w:r>
      <w:r w:rsidR="002247F6" w:rsidRPr="00075913">
        <w:rPr>
          <w:rFonts w:ascii="Century Schoolbook" w:hAnsi="Century Schoolbook" w:cstheme="minorHAnsi"/>
          <w:sz w:val="16"/>
          <w:szCs w:val="16"/>
        </w:rPr>
        <w:t xml:space="preserve"> 2024</w:t>
      </w:r>
      <w:r w:rsidRPr="00075913">
        <w:rPr>
          <w:rFonts w:ascii="Century Schoolbook" w:hAnsi="Century Schoolbook" w:cstheme="minorHAnsi"/>
          <w:sz w:val="16"/>
          <w:szCs w:val="16"/>
        </w:rPr>
        <w:t xml:space="preserve"> </w:t>
      </w:r>
      <w:r w:rsidR="003F23FC" w:rsidRPr="00075913">
        <w:rPr>
          <w:rFonts w:ascii="Century Schoolbook" w:hAnsi="Century Schoolbook" w:cstheme="minorHAnsi"/>
          <w:sz w:val="16"/>
          <w:szCs w:val="16"/>
        </w:rPr>
        <w:t xml:space="preserve">to </w:t>
      </w:r>
      <w:r w:rsidR="00465572" w:rsidRPr="00075913">
        <w:rPr>
          <w:rFonts w:ascii="Century Schoolbook" w:hAnsi="Century Schoolbook" w:cstheme="minorHAnsi"/>
          <w:sz w:val="16"/>
          <w:szCs w:val="16"/>
        </w:rPr>
        <w:t xml:space="preserve">February </w:t>
      </w:r>
      <w:r w:rsidR="00C27366" w:rsidRPr="00075913">
        <w:rPr>
          <w:rFonts w:ascii="Century Schoolbook" w:hAnsi="Century Schoolbook" w:cstheme="minorHAnsi"/>
          <w:sz w:val="16"/>
          <w:szCs w:val="16"/>
        </w:rPr>
        <w:t>16</w:t>
      </w:r>
      <w:r w:rsidR="00352F93" w:rsidRPr="00075913">
        <w:rPr>
          <w:rFonts w:ascii="Century Schoolbook" w:hAnsi="Century Schoolbook" w:cstheme="minorHAnsi"/>
          <w:sz w:val="16"/>
          <w:szCs w:val="16"/>
          <w:vertAlign w:val="superscript"/>
        </w:rPr>
        <w:t>th</w:t>
      </w:r>
      <w:r w:rsidR="00352F93" w:rsidRPr="00075913">
        <w:rPr>
          <w:rFonts w:ascii="Century Schoolbook" w:hAnsi="Century Schoolbook" w:cstheme="minorHAnsi"/>
          <w:sz w:val="16"/>
          <w:szCs w:val="16"/>
        </w:rPr>
        <w:t xml:space="preserve"> </w:t>
      </w:r>
      <w:r w:rsidRPr="00075913">
        <w:rPr>
          <w:rFonts w:ascii="Century Schoolbook" w:hAnsi="Century Schoolbook" w:cstheme="minorHAnsi"/>
          <w:sz w:val="16"/>
          <w:szCs w:val="16"/>
        </w:rPr>
        <w:t>202</w:t>
      </w:r>
      <w:r w:rsidR="00352F93" w:rsidRPr="00075913">
        <w:rPr>
          <w:rFonts w:ascii="Century Schoolbook" w:hAnsi="Century Schoolbook" w:cstheme="minorHAnsi"/>
          <w:sz w:val="16"/>
          <w:szCs w:val="16"/>
        </w:rPr>
        <w:t>4.</w:t>
      </w:r>
      <w:r w:rsidR="00C27366" w:rsidRPr="00075913">
        <w:rPr>
          <w:rFonts w:ascii="Century Schoolbook" w:hAnsi="Century Schoolbook" w:cstheme="minorHAnsi"/>
          <w:sz w:val="16"/>
          <w:szCs w:val="16"/>
        </w:rPr>
        <w:fldChar w:fldCharType="begin"/>
      </w:r>
      <w:r w:rsidR="00C27366" w:rsidRPr="00075913">
        <w:rPr>
          <w:rFonts w:ascii="Century Schoolbook" w:hAnsi="Century Schoolbook" w:cstheme="minorHAnsi"/>
          <w:sz w:val="16"/>
          <w:szCs w:val="16"/>
        </w:rPr>
        <w:instrText xml:space="preserve"> LINK Excel.Sheet.12 "C:\\Users\\ANTON\\Desktop\\Weekly ETF 2023 2024\\Weekly ETFs 2024\\Feburary\\Friday 9th\\Tracking record for Yahoo ETFs YTD 2024 with Performance 9th Feburary 2024.xlsx" "YTD!R1C1:R24C17" \a \f 4 \h  \* MERGEFORMAT </w:instrText>
      </w:r>
      <w:r w:rsidR="00C27366" w:rsidRPr="00075913">
        <w:rPr>
          <w:rFonts w:ascii="Century Schoolbook" w:hAnsi="Century Schoolbook" w:cstheme="minorHAnsi"/>
          <w:sz w:val="16"/>
          <w:szCs w:val="16"/>
        </w:rPr>
        <w:fldChar w:fldCharType="separate"/>
      </w:r>
    </w:p>
    <w:tbl>
      <w:tblPr>
        <w:tblW w:w="15704" w:type="dxa"/>
        <w:tblLook w:val="04A0" w:firstRow="1" w:lastRow="0" w:firstColumn="1" w:lastColumn="0" w:noHBand="0" w:noVBand="1"/>
      </w:tblPr>
      <w:tblGrid>
        <w:gridCol w:w="2581"/>
        <w:gridCol w:w="664"/>
        <w:gridCol w:w="795"/>
        <w:gridCol w:w="796"/>
        <w:gridCol w:w="843"/>
        <w:gridCol w:w="844"/>
        <w:gridCol w:w="843"/>
        <w:gridCol w:w="844"/>
        <w:gridCol w:w="843"/>
        <w:gridCol w:w="844"/>
        <w:gridCol w:w="843"/>
        <w:gridCol w:w="844"/>
        <w:gridCol w:w="843"/>
        <w:gridCol w:w="844"/>
        <w:gridCol w:w="843"/>
        <w:gridCol w:w="844"/>
        <w:gridCol w:w="898"/>
      </w:tblGrid>
      <w:tr w:rsidR="00C27366" w:rsidRPr="00075913" w14:paraId="5E13F914" w14:textId="77777777" w:rsidTr="00C27366">
        <w:trPr>
          <w:trHeight w:val="268"/>
        </w:trPr>
        <w:tc>
          <w:tcPr>
            <w:tcW w:w="15704" w:type="dxa"/>
            <w:gridSpan w:val="17"/>
            <w:tcBorders>
              <w:top w:val="single" w:sz="4" w:space="0" w:color="auto"/>
              <w:left w:val="single" w:sz="4" w:space="0" w:color="auto"/>
              <w:bottom w:val="single" w:sz="4" w:space="0" w:color="auto"/>
              <w:right w:val="single" w:sz="4" w:space="0" w:color="auto"/>
            </w:tcBorders>
            <w:shd w:val="clear" w:color="000000" w:fill="00B0F0"/>
            <w:noWrap/>
            <w:vAlign w:val="center"/>
            <w:hideMark/>
          </w:tcPr>
          <w:p w14:paraId="6567E6F4" w14:textId="4A238769" w:rsidR="00C27366" w:rsidRPr="00075913" w:rsidRDefault="00C27366">
            <w:pPr>
              <w:jc w:val="center"/>
              <w:rPr>
                <w:rFonts w:ascii="Century Schoolbook" w:eastAsia="Times New Roman" w:hAnsi="Century Schoolbook" w:cs="Calibri"/>
                <w:b/>
                <w:bCs/>
                <w:color w:val="203764"/>
                <w:kern w:val="0"/>
                <w:sz w:val="16"/>
                <w:szCs w:val="16"/>
                <w14:ligatures w14:val="none"/>
              </w:rPr>
            </w:pPr>
            <w:r w:rsidRPr="00075913">
              <w:rPr>
                <w:rFonts w:ascii="Century Schoolbook" w:eastAsia="Times New Roman" w:hAnsi="Century Schoolbook" w:cs="Calibri"/>
                <w:b/>
                <w:bCs/>
                <w:color w:val="203764"/>
                <w:kern w:val="0"/>
                <w:sz w:val="16"/>
                <w:szCs w:val="16"/>
                <w14:ligatures w14:val="none"/>
              </w:rPr>
              <w:t>Percent of Correct Predictions for each Trading Direction</w:t>
            </w:r>
          </w:p>
        </w:tc>
      </w:tr>
      <w:tr w:rsidR="00C27366" w:rsidRPr="00075913" w14:paraId="21E9154A"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3F475752"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 </w:t>
            </w:r>
          </w:p>
        </w:tc>
        <w:tc>
          <w:tcPr>
            <w:tcW w:w="586" w:type="dxa"/>
            <w:tcBorders>
              <w:top w:val="nil"/>
              <w:left w:val="nil"/>
              <w:bottom w:val="single" w:sz="4" w:space="0" w:color="auto"/>
              <w:right w:val="single" w:sz="4" w:space="0" w:color="auto"/>
            </w:tcBorders>
            <w:shd w:val="clear" w:color="auto" w:fill="auto"/>
            <w:noWrap/>
            <w:vAlign w:val="center"/>
            <w:hideMark/>
          </w:tcPr>
          <w:p w14:paraId="2EEDC393"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 </w:t>
            </w:r>
          </w:p>
        </w:tc>
        <w:tc>
          <w:tcPr>
            <w:tcW w:w="1591"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7274AF9F"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Commodities</w:t>
            </w:r>
          </w:p>
        </w:tc>
        <w:tc>
          <w:tcPr>
            <w:tcW w:w="1687"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01826312"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Crypto</w:t>
            </w:r>
          </w:p>
        </w:tc>
        <w:tc>
          <w:tcPr>
            <w:tcW w:w="1687"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021F6A35"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Currency</w:t>
            </w:r>
          </w:p>
        </w:tc>
        <w:tc>
          <w:tcPr>
            <w:tcW w:w="1687"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0A3A1D5E"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Fixed Income</w:t>
            </w:r>
          </w:p>
        </w:tc>
        <w:tc>
          <w:tcPr>
            <w:tcW w:w="1687"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72856144"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Geography</w:t>
            </w:r>
          </w:p>
        </w:tc>
        <w:tc>
          <w:tcPr>
            <w:tcW w:w="1687"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01F17586"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Indices</w:t>
            </w:r>
          </w:p>
        </w:tc>
        <w:tc>
          <w:tcPr>
            <w:tcW w:w="1687" w:type="dxa"/>
            <w:gridSpan w:val="2"/>
            <w:tcBorders>
              <w:top w:val="single" w:sz="4" w:space="0" w:color="auto"/>
              <w:left w:val="nil"/>
              <w:bottom w:val="single" w:sz="4" w:space="0" w:color="auto"/>
              <w:right w:val="single" w:sz="4" w:space="0" w:color="auto"/>
            </w:tcBorders>
            <w:shd w:val="clear" w:color="000000" w:fill="FFFF00"/>
            <w:noWrap/>
            <w:vAlign w:val="center"/>
            <w:hideMark/>
          </w:tcPr>
          <w:p w14:paraId="27364DF4"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Sectors</w:t>
            </w:r>
          </w:p>
        </w:tc>
        <w:tc>
          <w:tcPr>
            <w:tcW w:w="822" w:type="dxa"/>
            <w:tcBorders>
              <w:top w:val="nil"/>
              <w:left w:val="nil"/>
              <w:bottom w:val="single" w:sz="4" w:space="0" w:color="auto"/>
              <w:right w:val="single" w:sz="4" w:space="0" w:color="auto"/>
            </w:tcBorders>
            <w:shd w:val="clear" w:color="000000" w:fill="FFFF00"/>
            <w:noWrap/>
            <w:vAlign w:val="center"/>
            <w:hideMark/>
          </w:tcPr>
          <w:p w14:paraId="69594CED"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 </w:t>
            </w:r>
          </w:p>
        </w:tc>
      </w:tr>
      <w:tr w:rsidR="00C27366" w:rsidRPr="00075913" w14:paraId="58373C47"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05E26EA9"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Date</w:t>
            </w:r>
          </w:p>
        </w:tc>
        <w:tc>
          <w:tcPr>
            <w:tcW w:w="586" w:type="dxa"/>
            <w:tcBorders>
              <w:top w:val="nil"/>
              <w:left w:val="nil"/>
              <w:bottom w:val="single" w:sz="4" w:space="0" w:color="auto"/>
              <w:right w:val="single" w:sz="4" w:space="0" w:color="auto"/>
            </w:tcBorders>
            <w:shd w:val="clear" w:color="auto" w:fill="auto"/>
            <w:noWrap/>
            <w:vAlign w:val="center"/>
            <w:hideMark/>
          </w:tcPr>
          <w:p w14:paraId="5ABBF467"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Week</w:t>
            </w:r>
          </w:p>
        </w:tc>
        <w:tc>
          <w:tcPr>
            <w:tcW w:w="795" w:type="dxa"/>
            <w:tcBorders>
              <w:top w:val="nil"/>
              <w:left w:val="nil"/>
              <w:bottom w:val="single" w:sz="4" w:space="0" w:color="auto"/>
              <w:right w:val="single" w:sz="4" w:space="0" w:color="auto"/>
            </w:tcBorders>
            <w:shd w:val="clear" w:color="000000" w:fill="92D050"/>
            <w:noWrap/>
            <w:vAlign w:val="center"/>
            <w:hideMark/>
          </w:tcPr>
          <w:p w14:paraId="779BF74B"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 xml:space="preserve">Long </w:t>
            </w:r>
          </w:p>
        </w:tc>
        <w:tc>
          <w:tcPr>
            <w:tcW w:w="795" w:type="dxa"/>
            <w:tcBorders>
              <w:top w:val="nil"/>
              <w:left w:val="nil"/>
              <w:bottom w:val="single" w:sz="4" w:space="0" w:color="auto"/>
              <w:right w:val="single" w:sz="4" w:space="0" w:color="auto"/>
            </w:tcBorders>
            <w:shd w:val="clear" w:color="000000" w:fill="FF0000"/>
            <w:noWrap/>
            <w:vAlign w:val="center"/>
            <w:hideMark/>
          </w:tcPr>
          <w:p w14:paraId="356AFD52"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Short</w:t>
            </w:r>
          </w:p>
        </w:tc>
        <w:tc>
          <w:tcPr>
            <w:tcW w:w="843" w:type="dxa"/>
            <w:tcBorders>
              <w:top w:val="nil"/>
              <w:left w:val="nil"/>
              <w:bottom w:val="single" w:sz="4" w:space="0" w:color="auto"/>
              <w:right w:val="single" w:sz="4" w:space="0" w:color="auto"/>
            </w:tcBorders>
            <w:shd w:val="clear" w:color="000000" w:fill="92D050"/>
            <w:noWrap/>
            <w:vAlign w:val="center"/>
            <w:hideMark/>
          </w:tcPr>
          <w:p w14:paraId="6484FD0B"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Long</w:t>
            </w:r>
          </w:p>
        </w:tc>
        <w:tc>
          <w:tcPr>
            <w:tcW w:w="843" w:type="dxa"/>
            <w:tcBorders>
              <w:top w:val="nil"/>
              <w:left w:val="nil"/>
              <w:bottom w:val="single" w:sz="4" w:space="0" w:color="auto"/>
              <w:right w:val="single" w:sz="4" w:space="0" w:color="auto"/>
            </w:tcBorders>
            <w:shd w:val="clear" w:color="000000" w:fill="FF0000"/>
            <w:noWrap/>
            <w:vAlign w:val="center"/>
            <w:hideMark/>
          </w:tcPr>
          <w:p w14:paraId="5CEC690F"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Short</w:t>
            </w:r>
          </w:p>
        </w:tc>
        <w:tc>
          <w:tcPr>
            <w:tcW w:w="843" w:type="dxa"/>
            <w:tcBorders>
              <w:top w:val="nil"/>
              <w:left w:val="nil"/>
              <w:bottom w:val="single" w:sz="4" w:space="0" w:color="auto"/>
              <w:right w:val="single" w:sz="4" w:space="0" w:color="auto"/>
            </w:tcBorders>
            <w:shd w:val="clear" w:color="000000" w:fill="92D050"/>
            <w:noWrap/>
            <w:vAlign w:val="center"/>
            <w:hideMark/>
          </w:tcPr>
          <w:p w14:paraId="74874B06"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 xml:space="preserve">Long </w:t>
            </w:r>
          </w:p>
        </w:tc>
        <w:tc>
          <w:tcPr>
            <w:tcW w:w="843" w:type="dxa"/>
            <w:tcBorders>
              <w:top w:val="nil"/>
              <w:left w:val="nil"/>
              <w:bottom w:val="single" w:sz="4" w:space="0" w:color="auto"/>
              <w:right w:val="single" w:sz="4" w:space="0" w:color="auto"/>
            </w:tcBorders>
            <w:shd w:val="clear" w:color="000000" w:fill="FF0000"/>
            <w:noWrap/>
            <w:vAlign w:val="center"/>
            <w:hideMark/>
          </w:tcPr>
          <w:p w14:paraId="05561893"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Short</w:t>
            </w:r>
          </w:p>
        </w:tc>
        <w:tc>
          <w:tcPr>
            <w:tcW w:w="843" w:type="dxa"/>
            <w:tcBorders>
              <w:top w:val="nil"/>
              <w:left w:val="nil"/>
              <w:bottom w:val="single" w:sz="4" w:space="0" w:color="auto"/>
              <w:right w:val="single" w:sz="4" w:space="0" w:color="auto"/>
            </w:tcBorders>
            <w:shd w:val="clear" w:color="000000" w:fill="92D050"/>
            <w:noWrap/>
            <w:vAlign w:val="center"/>
            <w:hideMark/>
          </w:tcPr>
          <w:p w14:paraId="52F96863"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Long</w:t>
            </w:r>
          </w:p>
        </w:tc>
        <w:tc>
          <w:tcPr>
            <w:tcW w:w="843" w:type="dxa"/>
            <w:tcBorders>
              <w:top w:val="nil"/>
              <w:left w:val="nil"/>
              <w:bottom w:val="single" w:sz="4" w:space="0" w:color="auto"/>
              <w:right w:val="single" w:sz="4" w:space="0" w:color="auto"/>
            </w:tcBorders>
            <w:shd w:val="clear" w:color="000000" w:fill="FF0000"/>
            <w:noWrap/>
            <w:vAlign w:val="center"/>
            <w:hideMark/>
          </w:tcPr>
          <w:p w14:paraId="45268584"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Short</w:t>
            </w:r>
          </w:p>
        </w:tc>
        <w:tc>
          <w:tcPr>
            <w:tcW w:w="843" w:type="dxa"/>
            <w:tcBorders>
              <w:top w:val="nil"/>
              <w:left w:val="nil"/>
              <w:bottom w:val="single" w:sz="4" w:space="0" w:color="auto"/>
              <w:right w:val="single" w:sz="4" w:space="0" w:color="auto"/>
            </w:tcBorders>
            <w:shd w:val="clear" w:color="000000" w:fill="92D050"/>
            <w:noWrap/>
            <w:vAlign w:val="center"/>
            <w:hideMark/>
          </w:tcPr>
          <w:p w14:paraId="71DCF3D7"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 xml:space="preserve">Long </w:t>
            </w:r>
          </w:p>
        </w:tc>
        <w:tc>
          <w:tcPr>
            <w:tcW w:w="843" w:type="dxa"/>
            <w:tcBorders>
              <w:top w:val="nil"/>
              <w:left w:val="nil"/>
              <w:bottom w:val="single" w:sz="4" w:space="0" w:color="auto"/>
              <w:right w:val="single" w:sz="4" w:space="0" w:color="auto"/>
            </w:tcBorders>
            <w:shd w:val="clear" w:color="000000" w:fill="FF0000"/>
            <w:noWrap/>
            <w:vAlign w:val="center"/>
            <w:hideMark/>
          </w:tcPr>
          <w:p w14:paraId="4483659B"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Short</w:t>
            </w:r>
          </w:p>
        </w:tc>
        <w:tc>
          <w:tcPr>
            <w:tcW w:w="843" w:type="dxa"/>
            <w:tcBorders>
              <w:top w:val="nil"/>
              <w:left w:val="nil"/>
              <w:bottom w:val="single" w:sz="4" w:space="0" w:color="auto"/>
              <w:right w:val="single" w:sz="4" w:space="0" w:color="auto"/>
            </w:tcBorders>
            <w:shd w:val="clear" w:color="000000" w:fill="92D050"/>
            <w:noWrap/>
            <w:vAlign w:val="center"/>
            <w:hideMark/>
          </w:tcPr>
          <w:p w14:paraId="7FDDD7BA"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Long</w:t>
            </w:r>
          </w:p>
        </w:tc>
        <w:tc>
          <w:tcPr>
            <w:tcW w:w="843" w:type="dxa"/>
            <w:tcBorders>
              <w:top w:val="nil"/>
              <w:left w:val="nil"/>
              <w:bottom w:val="single" w:sz="4" w:space="0" w:color="auto"/>
              <w:right w:val="single" w:sz="4" w:space="0" w:color="auto"/>
            </w:tcBorders>
            <w:shd w:val="clear" w:color="000000" w:fill="FF0000"/>
            <w:noWrap/>
            <w:vAlign w:val="center"/>
            <w:hideMark/>
          </w:tcPr>
          <w:p w14:paraId="7CA9F466"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Short</w:t>
            </w:r>
          </w:p>
        </w:tc>
        <w:tc>
          <w:tcPr>
            <w:tcW w:w="843" w:type="dxa"/>
            <w:tcBorders>
              <w:top w:val="nil"/>
              <w:left w:val="nil"/>
              <w:bottom w:val="single" w:sz="4" w:space="0" w:color="auto"/>
              <w:right w:val="single" w:sz="4" w:space="0" w:color="auto"/>
            </w:tcBorders>
            <w:shd w:val="clear" w:color="000000" w:fill="92D050"/>
            <w:noWrap/>
            <w:vAlign w:val="center"/>
            <w:hideMark/>
          </w:tcPr>
          <w:p w14:paraId="1F11FABF"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Long</w:t>
            </w:r>
          </w:p>
        </w:tc>
        <w:tc>
          <w:tcPr>
            <w:tcW w:w="843" w:type="dxa"/>
            <w:tcBorders>
              <w:top w:val="nil"/>
              <w:left w:val="nil"/>
              <w:bottom w:val="single" w:sz="4" w:space="0" w:color="auto"/>
              <w:right w:val="single" w:sz="4" w:space="0" w:color="auto"/>
            </w:tcBorders>
            <w:shd w:val="clear" w:color="000000" w:fill="FF0000"/>
            <w:noWrap/>
            <w:vAlign w:val="center"/>
            <w:hideMark/>
          </w:tcPr>
          <w:p w14:paraId="0FCD3773"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Short</w:t>
            </w:r>
          </w:p>
        </w:tc>
        <w:tc>
          <w:tcPr>
            <w:tcW w:w="822" w:type="dxa"/>
            <w:tcBorders>
              <w:top w:val="nil"/>
              <w:left w:val="nil"/>
              <w:bottom w:val="single" w:sz="4" w:space="0" w:color="auto"/>
              <w:right w:val="single" w:sz="4" w:space="0" w:color="auto"/>
            </w:tcBorders>
            <w:shd w:val="clear" w:color="000000" w:fill="A9D08E"/>
            <w:noWrap/>
            <w:vAlign w:val="center"/>
            <w:hideMark/>
          </w:tcPr>
          <w:p w14:paraId="4ED4E3E2"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Average</w:t>
            </w:r>
          </w:p>
        </w:tc>
      </w:tr>
      <w:tr w:rsidR="00C27366" w:rsidRPr="00075913" w14:paraId="5363F270"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5A104E3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Sunday, October 8, 2023</w:t>
            </w:r>
          </w:p>
        </w:tc>
        <w:tc>
          <w:tcPr>
            <w:tcW w:w="586" w:type="dxa"/>
            <w:tcBorders>
              <w:top w:val="nil"/>
              <w:left w:val="nil"/>
              <w:bottom w:val="single" w:sz="4" w:space="0" w:color="auto"/>
              <w:right w:val="single" w:sz="4" w:space="0" w:color="auto"/>
            </w:tcBorders>
            <w:shd w:val="clear" w:color="auto" w:fill="auto"/>
            <w:noWrap/>
            <w:vAlign w:val="center"/>
            <w:hideMark/>
          </w:tcPr>
          <w:p w14:paraId="3E94F5A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w:t>
            </w:r>
          </w:p>
        </w:tc>
        <w:tc>
          <w:tcPr>
            <w:tcW w:w="795" w:type="dxa"/>
            <w:tcBorders>
              <w:top w:val="nil"/>
              <w:left w:val="nil"/>
              <w:bottom w:val="single" w:sz="4" w:space="0" w:color="auto"/>
              <w:right w:val="single" w:sz="4" w:space="0" w:color="auto"/>
            </w:tcBorders>
            <w:shd w:val="clear" w:color="auto" w:fill="auto"/>
            <w:noWrap/>
            <w:vAlign w:val="center"/>
            <w:hideMark/>
          </w:tcPr>
          <w:p w14:paraId="73A0326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85.71%</w:t>
            </w:r>
          </w:p>
        </w:tc>
        <w:tc>
          <w:tcPr>
            <w:tcW w:w="795" w:type="dxa"/>
            <w:tcBorders>
              <w:top w:val="nil"/>
              <w:left w:val="nil"/>
              <w:bottom w:val="single" w:sz="4" w:space="0" w:color="auto"/>
              <w:right w:val="single" w:sz="4" w:space="0" w:color="auto"/>
            </w:tcBorders>
            <w:shd w:val="clear" w:color="auto" w:fill="auto"/>
            <w:noWrap/>
            <w:vAlign w:val="center"/>
            <w:hideMark/>
          </w:tcPr>
          <w:p w14:paraId="63BA582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7ED3EB8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22FFE92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4EA00C6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6D07BA3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5C7F5C5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1D0674C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1BBA19A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4D7814E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12C7DDC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1894FE8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26F560F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14.29%</w:t>
            </w:r>
          </w:p>
        </w:tc>
        <w:tc>
          <w:tcPr>
            <w:tcW w:w="843" w:type="dxa"/>
            <w:tcBorders>
              <w:top w:val="nil"/>
              <w:left w:val="nil"/>
              <w:bottom w:val="single" w:sz="4" w:space="0" w:color="auto"/>
              <w:right w:val="single" w:sz="4" w:space="0" w:color="auto"/>
            </w:tcBorders>
            <w:shd w:val="clear" w:color="auto" w:fill="auto"/>
            <w:noWrap/>
            <w:vAlign w:val="center"/>
            <w:hideMark/>
          </w:tcPr>
          <w:p w14:paraId="2E95374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83.33%</w:t>
            </w:r>
          </w:p>
        </w:tc>
        <w:tc>
          <w:tcPr>
            <w:tcW w:w="822" w:type="dxa"/>
            <w:tcBorders>
              <w:top w:val="nil"/>
              <w:left w:val="nil"/>
              <w:bottom w:val="single" w:sz="4" w:space="0" w:color="auto"/>
              <w:right w:val="single" w:sz="4" w:space="0" w:color="auto"/>
            </w:tcBorders>
            <w:shd w:val="clear" w:color="000000" w:fill="A9D08E"/>
            <w:noWrap/>
            <w:vAlign w:val="center"/>
            <w:hideMark/>
          </w:tcPr>
          <w:p w14:paraId="2D774377"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56.12%</w:t>
            </w:r>
          </w:p>
        </w:tc>
      </w:tr>
      <w:tr w:rsidR="00C27366" w:rsidRPr="00075913" w14:paraId="65C1C77C"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3C58941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Sunday, October 15, 2023</w:t>
            </w:r>
          </w:p>
        </w:tc>
        <w:tc>
          <w:tcPr>
            <w:tcW w:w="586" w:type="dxa"/>
            <w:tcBorders>
              <w:top w:val="nil"/>
              <w:left w:val="nil"/>
              <w:bottom w:val="single" w:sz="4" w:space="0" w:color="auto"/>
              <w:right w:val="single" w:sz="4" w:space="0" w:color="auto"/>
            </w:tcBorders>
            <w:shd w:val="clear" w:color="auto" w:fill="auto"/>
            <w:noWrap/>
            <w:vAlign w:val="center"/>
            <w:hideMark/>
          </w:tcPr>
          <w:p w14:paraId="2D363BA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w:t>
            </w:r>
          </w:p>
        </w:tc>
        <w:tc>
          <w:tcPr>
            <w:tcW w:w="795" w:type="dxa"/>
            <w:tcBorders>
              <w:top w:val="nil"/>
              <w:left w:val="nil"/>
              <w:bottom w:val="single" w:sz="4" w:space="0" w:color="auto"/>
              <w:right w:val="single" w:sz="4" w:space="0" w:color="auto"/>
            </w:tcBorders>
            <w:shd w:val="clear" w:color="auto" w:fill="auto"/>
            <w:noWrap/>
            <w:vAlign w:val="center"/>
            <w:hideMark/>
          </w:tcPr>
          <w:p w14:paraId="149B54D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795" w:type="dxa"/>
            <w:tcBorders>
              <w:top w:val="nil"/>
              <w:left w:val="nil"/>
              <w:bottom w:val="single" w:sz="4" w:space="0" w:color="auto"/>
              <w:right w:val="single" w:sz="4" w:space="0" w:color="auto"/>
            </w:tcBorders>
            <w:shd w:val="clear" w:color="auto" w:fill="auto"/>
            <w:noWrap/>
            <w:vAlign w:val="center"/>
            <w:hideMark/>
          </w:tcPr>
          <w:p w14:paraId="261216B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55.56%</w:t>
            </w:r>
          </w:p>
        </w:tc>
        <w:tc>
          <w:tcPr>
            <w:tcW w:w="843" w:type="dxa"/>
            <w:tcBorders>
              <w:top w:val="nil"/>
              <w:left w:val="nil"/>
              <w:bottom w:val="single" w:sz="4" w:space="0" w:color="auto"/>
              <w:right w:val="single" w:sz="4" w:space="0" w:color="auto"/>
            </w:tcBorders>
            <w:shd w:val="clear" w:color="auto" w:fill="auto"/>
            <w:noWrap/>
            <w:vAlign w:val="center"/>
            <w:hideMark/>
          </w:tcPr>
          <w:p w14:paraId="1EFE522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1DA3978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27F9410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204096B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68E2B6E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5C8FC69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12C330D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45.45%</w:t>
            </w:r>
          </w:p>
        </w:tc>
        <w:tc>
          <w:tcPr>
            <w:tcW w:w="843" w:type="dxa"/>
            <w:tcBorders>
              <w:top w:val="nil"/>
              <w:left w:val="nil"/>
              <w:bottom w:val="single" w:sz="4" w:space="0" w:color="auto"/>
              <w:right w:val="single" w:sz="4" w:space="0" w:color="auto"/>
            </w:tcBorders>
            <w:shd w:val="clear" w:color="auto" w:fill="auto"/>
            <w:noWrap/>
            <w:vAlign w:val="center"/>
            <w:hideMark/>
          </w:tcPr>
          <w:p w14:paraId="65350CE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3F3CFC9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21B324A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7092789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42.86%</w:t>
            </w:r>
          </w:p>
        </w:tc>
        <w:tc>
          <w:tcPr>
            <w:tcW w:w="843" w:type="dxa"/>
            <w:tcBorders>
              <w:top w:val="nil"/>
              <w:left w:val="nil"/>
              <w:bottom w:val="single" w:sz="4" w:space="0" w:color="auto"/>
              <w:right w:val="single" w:sz="4" w:space="0" w:color="auto"/>
            </w:tcBorders>
            <w:shd w:val="clear" w:color="auto" w:fill="auto"/>
            <w:noWrap/>
            <w:vAlign w:val="center"/>
            <w:hideMark/>
          </w:tcPr>
          <w:p w14:paraId="3E29ACE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22" w:type="dxa"/>
            <w:tcBorders>
              <w:top w:val="nil"/>
              <w:left w:val="nil"/>
              <w:bottom w:val="single" w:sz="4" w:space="0" w:color="auto"/>
              <w:right w:val="single" w:sz="4" w:space="0" w:color="auto"/>
            </w:tcBorders>
            <w:shd w:val="clear" w:color="000000" w:fill="A9D08E"/>
            <w:noWrap/>
            <w:vAlign w:val="center"/>
            <w:hideMark/>
          </w:tcPr>
          <w:p w14:paraId="5FDABE42"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54.57%</w:t>
            </w:r>
          </w:p>
        </w:tc>
      </w:tr>
      <w:tr w:rsidR="00C27366" w:rsidRPr="00075913" w14:paraId="1DABE299"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560ED44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Sunday, October 22, 2023</w:t>
            </w:r>
          </w:p>
        </w:tc>
        <w:tc>
          <w:tcPr>
            <w:tcW w:w="586" w:type="dxa"/>
            <w:tcBorders>
              <w:top w:val="nil"/>
              <w:left w:val="nil"/>
              <w:bottom w:val="single" w:sz="4" w:space="0" w:color="auto"/>
              <w:right w:val="single" w:sz="4" w:space="0" w:color="auto"/>
            </w:tcBorders>
            <w:shd w:val="clear" w:color="auto" w:fill="auto"/>
            <w:noWrap/>
            <w:vAlign w:val="center"/>
            <w:hideMark/>
          </w:tcPr>
          <w:p w14:paraId="11F1DD9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w:t>
            </w:r>
          </w:p>
        </w:tc>
        <w:tc>
          <w:tcPr>
            <w:tcW w:w="795" w:type="dxa"/>
            <w:tcBorders>
              <w:top w:val="nil"/>
              <w:left w:val="nil"/>
              <w:bottom w:val="single" w:sz="4" w:space="0" w:color="auto"/>
              <w:right w:val="single" w:sz="4" w:space="0" w:color="auto"/>
            </w:tcBorders>
            <w:shd w:val="clear" w:color="auto" w:fill="auto"/>
            <w:noWrap/>
            <w:vAlign w:val="center"/>
            <w:hideMark/>
          </w:tcPr>
          <w:p w14:paraId="06CFB09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42.86%</w:t>
            </w:r>
          </w:p>
        </w:tc>
        <w:tc>
          <w:tcPr>
            <w:tcW w:w="795" w:type="dxa"/>
            <w:tcBorders>
              <w:top w:val="nil"/>
              <w:left w:val="nil"/>
              <w:bottom w:val="single" w:sz="4" w:space="0" w:color="auto"/>
              <w:right w:val="single" w:sz="4" w:space="0" w:color="auto"/>
            </w:tcBorders>
            <w:shd w:val="clear" w:color="auto" w:fill="auto"/>
            <w:noWrap/>
            <w:vAlign w:val="center"/>
            <w:hideMark/>
          </w:tcPr>
          <w:p w14:paraId="68B77C6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622C87E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6166BF3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3DC2D5C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76903EF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16CC2D0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31E807F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80.00%</w:t>
            </w:r>
          </w:p>
        </w:tc>
        <w:tc>
          <w:tcPr>
            <w:tcW w:w="843" w:type="dxa"/>
            <w:tcBorders>
              <w:top w:val="nil"/>
              <w:left w:val="nil"/>
              <w:bottom w:val="single" w:sz="4" w:space="0" w:color="auto"/>
              <w:right w:val="single" w:sz="4" w:space="0" w:color="auto"/>
            </w:tcBorders>
            <w:shd w:val="clear" w:color="auto" w:fill="auto"/>
            <w:noWrap/>
            <w:vAlign w:val="center"/>
            <w:hideMark/>
          </w:tcPr>
          <w:p w14:paraId="2D8543F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27.27%</w:t>
            </w:r>
          </w:p>
        </w:tc>
        <w:tc>
          <w:tcPr>
            <w:tcW w:w="843" w:type="dxa"/>
            <w:tcBorders>
              <w:top w:val="nil"/>
              <w:left w:val="nil"/>
              <w:bottom w:val="single" w:sz="4" w:space="0" w:color="auto"/>
              <w:right w:val="single" w:sz="4" w:space="0" w:color="auto"/>
            </w:tcBorders>
            <w:shd w:val="clear" w:color="auto" w:fill="auto"/>
            <w:noWrap/>
            <w:vAlign w:val="center"/>
            <w:hideMark/>
          </w:tcPr>
          <w:p w14:paraId="6C8D93B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0E69327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74C1EEA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4EED33F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7CEF66A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22" w:type="dxa"/>
            <w:tcBorders>
              <w:top w:val="nil"/>
              <w:left w:val="nil"/>
              <w:bottom w:val="single" w:sz="4" w:space="0" w:color="auto"/>
              <w:right w:val="single" w:sz="4" w:space="0" w:color="auto"/>
            </w:tcBorders>
            <w:shd w:val="clear" w:color="000000" w:fill="A9D08E"/>
            <w:noWrap/>
            <w:vAlign w:val="center"/>
            <w:hideMark/>
          </w:tcPr>
          <w:p w14:paraId="07428318"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40.91%</w:t>
            </w:r>
          </w:p>
        </w:tc>
      </w:tr>
      <w:tr w:rsidR="00C27366" w:rsidRPr="00075913" w14:paraId="68F30927"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6620C7D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Sunday, November 5, 2023</w:t>
            </w:r>
          </w:p>
        </w:tc>
        <w:tc>
          <w:tcPr>
            <w:tcW w:w="586" w:type="dxa"/>
            <w:tcBorders>
              <w:top w:val="nil"/>
              <w:left w:val="nil"/>
              <w:bottom w:val="single" w:sz="4" w:space="0" w:color="auto"/>
              <w:right w:val="single" w:sz="4" w:space="0" w:color="auto"/>
            </w:tcBorders>
            <w:shd w:val="clear" w:color="auto" w:fill="auto"/>
            <w:noWrap/>
            <w:vAlign w:val="center"/>
            <w:hideMark/>
          </w:tcPr>
          <w:p w14:paraId="12A08A0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w:t>
            </w:r>
          </w:p>
        </w:tc>
        <w:tc>
          <w:tcPr>
            <w:tcW w:w="795" w:type="dxa"/>
            <w:tcBorders>
              <w:top w:val="nil"/>
              <w:left w:val="nil"/>
              <w:bottom w:val="single" w:sz="4" w:space="0" w:color="auto"/>
              <w:right w:val="single" w:sz="4" w:space="0" w:color="auto"/>
            </w:tcBorders>
            <w:shd w:val="clear" w:color="auto" w:fill="auto"/>
            <w:noWrap/>
            <w:vAlign w:val="center"/>
            <w:hideMark/>
          </w:tcPr>
          <w:p w14:paraId="33DB39F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83.33%</w:t>
            </w:r>
          </w:p>
        </w:tc>
        <w:tc>
          <w:tcPr>
            <w:tcW w:w="795" w:type="dxa"/>
            <w:tcBorders>
              <w:top w:val="nil"/>
              <w:left w:val="nil"/>
              <w:bottom w:val="single" w:sz="4" w:space="0" w:color="auto"/>
              <w:right w:val="single" w:sz="4" w:space="0" w:color="auto"/>
            </w:tcBorders>
            <w:shd w:val="clear" w:color="auto" w:fill="auto"/>
            <w:noWrap/>
            <w:vAlign w:val="center"/>
            <w:hideMark/>
          </w:tcPr>
          <w:p w14:paraId="7C4B2D9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57.14%</w:t>
            </w:r>
          </w:p>
        </w:tc>
        <w:tc>
          <w:tcPr>
            <w:tcW w:w="843" w:type="dxa"/>
            <w:tcBorders>
              <w:top w:val="nil"/>
              <w:left w:val="nil"/>
              <w:bottom w:val="single" w:sz="4" w:space="0" w:color="auto"/>
              <w:right w:val="single" w:sz="4" w:space="0" w:color="auto"/>
            </w:tcBorders>
            <w:shd w:val="clear" w:color="auto" w:fill="auto"/>
            <w:noWrap/>
            <w:vAlign w:val="center"/>
            <w:hideMark/>
          </w:tcPr>
          <w:p w14:paraId="6B1FEB0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4288D70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16AE96F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42E15C2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5A989A9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2B6F273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6241123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71.43%</w:t>
            </w:r>
          </w:p>
        </w:tc>
        <w:tc>
          <w:tcPr>
            <w:tcW w:w="843" w:type="dxa"/>
            <w:tcBorders>
              <w:top w:val="nil"/>
              <w:left w:val="nil"/>
              <w:bottom w:val="single" w:sz="4" w:space="0" w:color="auto"/>
              <w:right w:val="single" w:sz="4" w:space="0" w:color="auto"/>
            </w:tcBorders>
            <w:shd w:val="clear" w:color="auto" w:fill="auto"/>
            <w:noWrap/>
            <w:vAlign w:val="center"/>
            <w:hideMark/>
          </w:tcPr>
          <w:p w14:paraId="7564DDF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39A4FF1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09DBCB0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80.00%</w:t>
            </w:r>
          </w:p>
        </w:tc>
        <w:tc>
          <w:tcPr>
            <w:tcW w:w="843" w:type="dxa"/>
            <w:tcBorders>
              <w:top w:val="nil"/>
              <w:left w:val="nil"/>
              <w:bottom w:val="single" w:sz="4" w:space="0" w:color="auto"/>
              <w:right w:val="single" w:sz="4" w:space="0" w:color="auto"/>
            </w:tcBorders>
            <w:shd w:val="clear" w:color="auto" w:fill="auto"/>
            <w:noWrap/>
            <w:vAlign w:val="center"/>
            <w:hideMark/>
          </w:tcPr>
          <w:p w14:paraId="5008E76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62.50%</w:t>
            </w:r>
          </w:p>
        </w:tc>
        <w:tc>
          <w:tcPr>
            <w:tcW w:w="843" w:type="dxa"/>
            <w:tcBorders>
              <w:top w:val="nil"/>
              <w:left w:val="nil"/>
              <w:bottom w:val="single" w:sz="4" w:space="0" w:color="auto"/>
              <w:right w:val="single" w:sz="4" w:space="0" w:color="auto"/>
            </w:tcBorders>
            <w:shd w:val="clear" w:color="auto" w:fill="auto"/>
            <w:noWrap/>
            <w:vAlign w:val="center"/>
            <w:hideMark/>
          </w:tcPr>
          <w:p w14:paraId="00A1E05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22" w:type="dxa"/>
            <w:tcBorders>
              <w:top w:val="nil"/>
              <w:left w:val="nil"/>
              <w:bottom w:val="single" w:sz="4" w:space="0" w:color="auto"/>
              <w:right w:val="single" w:sz="4" w:space="0" w:color="auto"/>
            </w:tcBorders>
            <w:shd w:val="clear" w:color="000000" w:fill="A9D08E"/>
            <w:noWrap/>
            <w:vAlign w:val="center"/>
            <w:hideMark/>
          </w:tcPr>
          <w:p w14:paraId="5D282A7E"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66.67%</w:t>
            </w:r>
          </w:p>
        </w:tc>
      </w:tr>
      <w:tr w:rsidR="00C27366" w:rsidRPr="00075913" w14:paraId="559D02E9"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4EB2F94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November 10, 2023</w:t>
            </w:r>
          </w:p>
        </w:tc>
        <w:tc>
          <w:tcPr>
            <w:tcW w:w="586" w:type="dxa"/>
            <w:tcBorders>
              <w:top w:val="nil"/>
              <w:left w:val="nil"/>
              <w:bottom w:val="single" w:sz="4" w:space="0" w:color="auto"/>
              <w:right w:val="single" w:sz="4" w:space="0" w:color="auto"/>
            </w:tcBorders>
            <w:shd w:val="clear" w:color="auto" w:fill="auto"/>
            <w:noWrap/>
            <w:vAlign w:val="center"/>
            <w:hideMark/>
          </w:tcPr>
          <w:p w14:paraId="4311158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w:t>
            </w:r>
          </w:p>
        </w:tc>
        <w:tc>
          <w:tcPr>
            <w:tcW w:w="795" w:type="dxa"/>
            <w:tcBorders>
              <w:top w:val="nil"/>
              <w:left w:val="nil"/>
              <w:bottom w:val="single" w:sz="4" w:space="0" w:color="auto"/>
              <w:right w:val="single" w:sz="4" w:space="0" w:color="auto"/>
            </w:tcBorders>
            <w:shd w:val="clear" w:color="auto" w:fill="auto"/>
            <w:noWrap/>
            <w:vAlign w:val="center"/>
            <w:hideMark/>
          </w:tcPr>
          <w:p w14:paraId="0173602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40.00%</w:t>
            </w:r>
          </w:p>
        </w:tc>
        <w:tc>
          <w:tcPr>
            <w:tcW w:w="795" w:type="dxa"/>
            <w:tcBorders>
              <w:top w:val="nil"/>
              <w:left w:val="nil"/>
              <w:bottom w:val="single" w:sz="4" w:space="0" w:color="auto"/>
              <w:right w:val="single" w:sz="4" w:space="0" w:color="auto"/>
            </w:tcBorders>
            <w:shd w:val="clear" w:color="auto" w:fill="auto"/>
            <w:noWrap/>
            <w:vAlign w:val="center"/>
            <w:hideMark/>
          </w:tcPr>
          <w:p w14:paraId="423D04B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62.50%</w:t>
            </w:r>
          </w:p>
        </w:tc>
        <w:tc>
          <w:tcPr>
            <w:tcW w:w="843" w:type="dxa"/>
            <w:tcBorders>
              <w:top w:val="nil"/>
              <w:left w:val="nil"/>
              <w:bottom w:val="single" w:sz="4" w:space="0" w:color="auto"/>
              <w:right w:val="single" w:sz="4" w:space="0" w:color="auto"/>
            </w:tcBorders>
            <w:shd w:val="clear" w:color="auto" w:fill="auto"/>
            <w:noWrap/>
            <w:vAlign w:val="center"/>
            <w:hideMark/>
          </w:tcPr>
          <w:p w14:paraId="39EB026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43" w:type="dxa"/>
            <w:tcBorders>
              <w:top w:val="nil"/>
              <w:left w:val="nil"/>
              <w:bottom w:val="single" w:sz="4" w:space="0" w:color="auto"/>
              <w:right w:val="single" w:sz="4" w:space="0" w:color="auto"/>
            </w:tcBorders>
            <w:shd w:val="clear" w:color="auto" w:fill="auto"/>
            <w:noWrap/>
            <w:vAlign w:val="center"/>
            <w:hideMark/>
          </w:tcPr>
          <w:p w14:paraId="07C7FC8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1E2F184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0FC39B8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5E32A9A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58A2CE5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78D3EB8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16.67%</w:t>
            </w:r>
          </w:p>
        </w:tc>
        <w:tc>
          <w:tcPr>
            <w:tcW w:w="843" w:type="dxa"/>
            <w:tcBorders>
              <w:top w:val="nil"/>
              <w:left w:val="nil"/>
              <w:bottom w:val="single" w:sz="4" w:space="0" w:color="auto"/>
              <w:right w:val="single" w:sz="4" w:space="0" w:color="auto"/>
            </w:tcBorders>
            <w:shd w:val="clear" w:color="auto" w:fill="auto"/>
            <w:noWrap/>
            <w:vAlign w:val="center"/>
            <w:hideMark/>
          </w:tcPr>
          <w:p w14:paraId="74FF6BC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05D704D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16.67%</w:t>
            </w:r>
          </w:p>
        </w:tc>
        <w:tc>
          <w:tcPr>
            <w:tcW w:w="843" w:type="dxa"/>
            <w:tcBorders>
              <w:top w:val="nil"/>
              <w:left w:val="nil"/>
              <w:bottom w:val="single" w:sz="4" w:space="0" w:color="auto"/>
              <w:right w:val="single" w:sz="4" w:space="0" w:color="auto"/>
            </w:tcBorders>
            <w:shd w:val="clear" w:color="auto" w:fill="auto"/>
            <w:noWrap/>
            <w:vAlign w:val="center"/>
            <w:hideMark/>
          </w:tcPr>
          <w:p w14:paraId="24E0971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NAN</w:t>
            </w:r>
          </w:p>
        </w:tc>
        <w:tc>
          <w:tcPr>
            <w:tcW w:w="843" w:type="dxa"/>
            <w:tcBorders>
              <w:top w:val="nil"/>
              <w:left w:val="nil"/>
              <w:bottom w:val="single" w:sz="4" w:space="0" w:color="auto"/>
              <w:right w:val="single" w:sz="4" w:space="0" w:color="auto"/>
            </w:tcBorders>
            <w:shd w:val="clear" w:color="auto" w:fill="auto"/>
            <w:noWrap/>
            <w:vAlign w:val="center"/>
            <w:hideMark/>
          </w:tcPr>
          <w:p w14:paraId="571082E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40.00%</w:t>
            </w:r>
          </w:p>
        </w:tc>
        <w:tc>
          <w:tcPr>
            <w:tcW w:w="843" w:type="dxa"/>
            <w:tcBorders>
              <w:top w:val="nil"/>
              <w:left w:val="nil"/>
              <w:bottom w:val="single" w:sz="4" w:space="0" w:color="auto"/>
              <w:right w:val="single" w:sz="4" w:space="0" w:color="auto"/>
            </w:tcBorders>
            <w:shd w:val="clear" w:color="auto" w:fill="auto"/>
            <w:noWrap/>
            <w:vAlign w:val="center"/>
            <w:hideMark/>
          </w:tcPr>
          <w:p w14:paraId="2F79B67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22" w:type="dxa"/>
            <w:tcBorders>
              <w:top w:val="nil"/>
              <w:left w:val="nil"/>
              <w:bottom w:val="single" w:sz="4" w:space="0" w:color="auto"/>
              <w:right w:val="single" w:sz="4" w:space="0" w:color="auto"/>
            </w:tcBorders>
            <w:shd w:val="clear" w:color="000000" w:fill="A9D08E"/>
            <w:noWrap/>
            <w:vAlign w:val="center"/>
            <w:hideMark/>
          </w:tcPr>
          <w:p w14:paraId="6B5922E8"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42.42%</w:t>
            </w:r>
          </w:p>
        </w:tc>
      </w:tr>
      <w:tr w:rsidR="00C27366" w:rsidRPr="00075913" w14:paraId="26B20C47"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03857C6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November 17, 2023</w:t>
            </w:r>
          </w:p>
        </w:tc>
        <w:tc>
          <w:tcPr>
            <w:tcW w:w="586" w:type="dxa"/>
            <w:tcBorders>
              <w:top w:val="nil"/>
              <w:left w:val="nil"/>
              <w:bottom w:val="single" w:sz="4" w:space="0" w:color="auto"/>
              <w:right w:val="single" w:sz="4" w:space="0" w:color="auto"/>
            </w:tcBorders>
            <w:shd w:val="clear" w:color="auto" w:fill="auto"/>
            <w:noWrap/>
            <w:vAlign w:val="center"/>
            <w:hideMark/>
          </w:tcPr>
          <w:p w14:paraId="3301B05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w:t>
            </w:r>
          </w:p>
        </w:tc>
        <w:tc>
          <w:tcPr>
            <w:tcW w:w="795" w:type="dxa"/>
            <w:tcBorders>
              <w:top w:val="nil"/>
              <w:left w:val="nil"/>
              <w:bottom w:val="single" w:sz="4" w:space="0" w:color="auto"/>
              <w:right w:val="single" w:sz="4" w:space="0" w:color="auto"/>
            </w:tcBorders>
            <w:shd w:val="clear" w:color="auto" w:fill="auto"/>
            <w:noWrap/>
            <w:vAlign w:val="center"/>
            <w:hideMark/>
          </w:tcPr>
          <w:p w14:paraId="62D6D34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40.00%</w:t>
            </w:r>
          </w:p>
        </w:tc>
        <w:tc>
          <w:tcPr>
            <w:tcW w:w="795" w:type="dxa"/>
            <w:tcBorders>
              <w:top w:val="nil"/>
              <w:left w:val="nil"/>
              <w:bottom w:val="single" w:sz="4" w:space="0" w:color="auto"/>
              <w:right w:val="single" w:sz="4" w:space="0" w:color="auto"/>
            </w:tcBorders>
            <w:shd w:val="clear" w:color="auto" w:fill="auto"/>
            <w:noWrap/>
            <w:vAlign w:val="center"/>
            <w:hideMark/>
          </w:tcPr>
          <w:p w14:paraId="6674CE5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37.50%</w:t>
            </w:r>
          </w:p>
        </w:tc>
        <w:tc>
          <w:tcPr>
            <w:tcW w:w="843" w:type="dxa"/>
            <w:tcBorders>
              <w:top w:val="nil"/>
              <w:left w:val="nil"/>
              <w:bottom w:val="single" w:sz="4" w:space="0" w:color="auto"/>
              <w:right w:val="single" w:sz="4" w:space="0" w:color="auto"/>
            </w:tcBorders>
            <w:shd w:val="clear" w:color="auto" w:fill="auto"/>
            <w:noWrap/>
            <w:vAlign w:val="center"/>
            <w:hideMark/>
          </w:tcPr>
          <w:p w14:paraId="2A1CE79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31EDCC6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0AC81E0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80.00%</w:t>
            </w:r>
          </w:p>
        </w:tc>
        <w:tc>
          <w:tcPr>
            <w:tcW w:w="843" w:type="dxa"/>
            <w:tcBorders>
              <w:top w:val="nil"/>
              <w:left w:val="nil"/>
              <w:bottom w:val="single" w:sz="4" w:space="0" w:color="auto"/>
              <w:right w:val="single" w:sz="4" w:space="0" w:color="auto"/>
            </w:tcBorders>
            <w:shd w:val="clear" w:color="auto" w:fill="auto"/>
            <w:noWrap/>
            <w:vAlign w:val="center"/>
            <w:hideMark/>
          </w:tcPr>
          <w:p w14:paraId="3A34E7B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1AAACE1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25B059E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7976238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443DAA6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0CBE889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83.33%</w:t>
            </w:r>
          </w:p>
        </w:tc>
        <w:tc>
          <w:tcPr>
            <w:tcW w:w="843" w:type="dxa"/>
            <w:tcBorders>
              <w:top w:val="nil"/>
              <w:left w:val="nil"/>
              <w:bottom w:val="single" w:sz="4" w:space="0" w:color="auto"/>
              <w:right w:val="single" w:sz="4" w:space="0" w:color="auto"/>
            </w:tcBorders>
            <w:shd w:val="clear" w:color="auto" w:fill="auto"/>
            <w:noWrap/>
            <w:vAlign w:val="center"/>
            <w:hideMark/>
          </w:tcPr>
          <w:p w14:paraId="048A963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53B0BC6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3E37A24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22" w:type="dxa"/>
            <w:tcBorders>
              <w:top w:val="nil"/>
              <w:left w:val="nil"/>
              <w:bottom w:val="single" w:sz="4" w:space="0" w:color="auto"/>
              <w:right w:val="single" w:sz="4" w:space="0" w:color="auto"/>
            </w:tcBorders>
            <w:shd w:val="clear" w:color="000000" w:fill="A9D08E"/>
            <w:noWrap/>
            <w:vAlign w:val="center"/>
            <w:hideMark/>
          </w:tcPr>
          <w:p w14:paraId="7758DA0D"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53.03%</w:t>
            </w:r>
          </w:p>
        </w:tc>
      </w:tr>
      <w:tr w:rsidR="00C27366" w:rsidRPr="00075913" w14:paraId="17A982D0"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178DB47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November 24, 2023</w:t>
            </w:r>
          </w:p>
        </w:tc>
        <w:tc>
          <w:tcPr>
            <w:tcW w:w="586" w:type="dxa"/>
            <w:tcBorders>
              <w:top w:val="nil"/>
              <w:left w:val="nil"/>
              <w:bottom w:val="single" w:sz="4" w:space="0" w:color="auto"/>
              <w:right w:val="single" w:sz="4" w:space="0" w:color="auto"/>
            </w:tcBorders>
            <w:shd w:val="clear" w:color="auto" w:fill="auto"/>
            <w:noWrap/>
            <w:vAlign w:val="center"/>
            <w:hideMark/>
          </w:tcPr>
          <w:p w14:paraId="32512DA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9</w:t>
            </w:r>
          </w:p>
        </w:tc>
        <w:tc>
          <w:tcPr>
            <w:tcW w:w="795" w:type="dxa"/>
            <w:tcBorders>
              <w:top w:val="nil"/>
              <w:left w:val="nil"/>
              <w:bottom w:val="single" w:sz="4" w:space="0" w:color="auto"/>
              <w:right w:val="single" w:sz="4" w:space="0" w:color="auto"/>
            </w:tcBorders>
            <w:shd w:val="clear" w:color="auto" w:fill="auto"/>
            <w:noWrap/>
            <w:vAlign w:val="center"/>
            <w:hideMark/>
          </w:tcPr>
          <w:p w14:paraId="6F51DD4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795" w:type="dxa"/>
            <w:tcBorders>
              <w:top w:val="nil"/>
              <w:left w:val="nil"/>
              <w:bottom w:val="single" w:sz="4" w:space="0" w:color="auto"/>
              <w:right w:val="single" w:sz="4" w:space="0" w:color="auto"/>
            </w:tcBorders>
            <w:shd w:val="clear" w:color="auto" w:fill="auto"/>
            <w:noWrap/>
            <w:vAlign w:val="center"/>
            <w:hideMark/>
          </w:tcPr>
          <w:p w14:paraId="32A3A73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4B51E2E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1F7BC66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6A769C7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635CFBD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0136179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80.00%</w:t>
            </w:r>
          </w:p>
        </w:tc>
        <w:tc>
          <w:tcPr>
            <w:tcW w:w="843" w:type="dxa"/>
            <w:tcBorders>
              <w:top w:val="nil"/>
              <w:left w:val="nil"/>
              <w:bottom w:val="single" w:sz="4" w:space="0" w:color="auto"/>
              <w:right w:val="single" w:sz="4" w:space="0" w:color="auto"/>
            </w:tcBorders>
            <w:shd w:val="clear" w:color="auto" w:fill="auto"/>
            <w:noWrap/>
            <w:vAlign w:val="center"/>
            <w:hideMark/>
          </w:tcPr>
          <w:p w14:paraId="13339CF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3E19E13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01E2ABE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44.44%</w:t>
            </w:r>
          </w:p>
        </w:tc>
        <w:tc>
          <w:tcPr>
            <w:tcW w:w="843" w:type="dxa"/>
            <w:tcBorders>
              <w:top w:val="nil"/>
              <w:left w:val="nil"/>
              <w:bottom w:val="single" w:sz="4" w:space="0" w:color="auto"/>
              <w:right w:val="single" w:sz="4" w:space="0" w:color="auto"/>
            </w:tcBorders>
            <w:shd w:val="clear" w:color="auto" w:fill="auto"/>
            <w:noWrap/>
            <w:vAlign w:val="center"/>
            <w:hideMark/>
          </w:tcPr>
          <w:p w14:paraId="6FE98AB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6D7A96F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12FEA3C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4DDEC51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22" w:type="dxa"/>
            <w:tcBorders>
              <w:top w:val="nil"/>
              <w:left w:val="nil"/>
              <w:bottom w:val="single" w:sz="4" w:space="0" w:color="auto"/>
              <w:right w:val="single" w:sz="4" w:space="0" w:color="auto"/>
            </w:tcBorders>
            <w:shd w:val="clear" w:color="000000" w:fill="A9D08E"/>
            <w:noWrap/>
            <w:vAlign w:val="center"/>
            <w:hideMark/>
          </w:tcPr>
          <w:p w14:paraId="763CDAF9"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40.91%</w:t>
            </w:r>
          </w:p>
        </w:tc>
      </w:tr>
      <w:tr w:rsidR="00C27366" w:rsidRPr="00075913" w14:paraId="5FBDBA0E"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5D0C1EE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December 1, 2023</w:t>
            </w:r>
          </w:p>
        </w:tc>
        <w:tc>
          <w:tcPr>
            <w:tcW w:w="586" w:type="dxa"/>
            <w:tcBorders>
              <w:top w:val="nil"/>
              <w:left w:val="nil"/>
              <w:bottom w:val="single" w:sz="4" w:space="0" w:color="auto"/>
              <w:right w:val="single" w:sz="4" w:space="0" w:color="auto"/>
            </w:tcBorders>
            <w:shd w:val="clear" w:color="auto" w:fill="auto"/>
            <w:noWrap/>
            <w:vAlign w:val="center"/>
            <w:hideMark/>
          </w:tcPr>
          <w:p w14:paraId="35099C3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w:t>
            </w:r>
          </w:p>
        </w:tc>
        <w:tc>
          <w:tcPr>
            <w:tcW w:w="795" w:type="dxa"/>
            <w:tcBorders>
              <w:top w:val="nil"/>
              <w:left w:val="nil"/>
              <w:bottom w:val="single" w:sz="4" w:space="0" w:color="auto"/>
              <w:right w:val="single" w:sz="4" w:space="0" w:color="auto"/>
            </w:tcBorders>
            <w:shd w:val="clear" w:color="auto" w:fill="auto"/>
            <w:noWrap/>
            <w:vAlign w:val="center"/>
            <w:hideMark/>
          </w:tcPr>
          <w:p w14:paraId="4CBADB3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795" w:type="dxa"/>
            <w:tcBorders>
              <w:top w:val="nil"/>
              <w:left w:val="nil"/>
              <w:bottom w:val="single" w:sz="4" w:space="0" w:color="auto"/>
              <w:right w:val="single" w:sz="4" w:space="0" w:color="auto"/>
            </w:tcBorders>
            <w:shd w:val="clear" w:color="auto" w:fill="auto"/>
            <w:noWrap/>
            <w:vAlign w:val="center"/>
            <w:hideMark/>
          </w:tcPr>
          <w:p w14:paraId="3777F89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42.86%</w:t>
            </w:r>
          </w:p>
        </w:tc>
        <w:tc>
          <w:tcPr>
            <w:tcW w:w="843" w:type="dxa"/>
            <w:tcBorders>
              <w:top w:val="nil"/>
              <w:left w:val="nil"/>
              <w:bottom w:val="single" w:sz="4" w:space="0" w:color="auto"/>
              <w:right w:val="single" w:sz="4" w:space="0" w:color="auto"/>
            </w:tcBorders>
            <w:shd w:val="clear" w:color="auto" w:fill="auto"/>
            <w:noWrap/>
            <w:vAlign w:val="center"/>
            <w:hideMark/>
          </w:tcPr>
          <w:p w14:paraId="108964A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01E6DDF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10DE264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356F013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7E8F0EF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80.00%</w:t>
            </w:r>
          </w:p>
        </w:tc>
        <w:tc>
          <w:tcPr>
            <w:tcW w:w="843" w:type="dxa"/>
            <w:tcBorders>
              <w:top w:val="nil"/>
              <w:left w:val="nil"/>
              <w:bottom w:val="single" w:sz="4" w:space="0" w:color="auto"/>
              <w:right w:val="single" w:sz="4" w:space="0" w:color="auto"/>
            </w:tcBorders>
            <w:shd w:val="clear" w:color="auto" w:fill="auto"/>
            <w:noWrap/>
            <w:vAlign w:val="center"/>
            <w:hideMark/>
          </w:tcPr>
          <w:p w14:paraId="513D43F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366428E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3B82E4A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45.45%</w:t>
            </w:r>
          </w:p>
        </w:tc>
        <w:tc>
          <w:tcPr>
            <w:tcW w:w="843" w:type="dxa"/>
            <w:tcBorders>
              <w:top w:val="nil"/>
              <w:left w:val="nil"/>
              <w:bottom w:val="single" w:sz="4" w:space="0" w:color="auto"/>
              <w:right w:val="single" w:sz="4" w:space="0" w:color="auto"/>
            </w:tcBorders>
            <w:shd w:val="clear" w:color="auto" w:fill="auto"/>
            <w:noWrap/>
            <w:vAlign w:val="center"/>
            <w:hideMark/>
          </w:tcPr>
          <w:p w14:paraId="278B1C0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1EC03E2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40.00%</w:t>
            </w:r>
          </w:p>
        </w:tc>
        <w:tc>
          <w:tcPr>
            <w:tcW w:w="843" w:type="dxa"/>
            <w:tcBorders>
              <w:top w:val="nil"/>
              <w:left w:val="nil"/>
              <w:bottom w:val="single" w:sz="4" w:space="0" w:color="auto"/>
              <w:right w:val="single" w:sz="4" w:space="0" w:color="auto"/>
            </w:tcBorders>
            <w:shd w:val="clear" w:color="auto" w:fill="auto"/>
            <w:noWrap/>
            <w:vAlign w:val="center"/>
            <w:hideMark/>
          </w:tcPr>
          <w:p w14:paraId="501DE5D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80.00%</w:t>
            </w:r>
          </w:p>
        </w:tc>
        <w:tc>
          <w:tcPr>
            <w:tcW w:w="843" w:type="dxa"/>
            <w:tcBorders>
              <w:top w:val="nil"/>
              <w:left w:val="nil"/>
              <w:bottom w:val="single" w:sz="4" w:space="0" w:color="auto"/>
              <w:right w:val="single" w:sz="4" w:space="0" w:color="auto"/>
            </w:tcBorders>
            <w:shd w:val="clear" w:color="auto" w:fill="auto"/>
            <w:noWrap/>
            <w:vAlign w:val="center"/>
            <w:hideMark/>
          </w:tcPr>
          <w:p w14:paraId="26074A5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62.50%</w:t>
            </w:r>
          </w:p>
        </w:tc>
        <w:tc>
          <w:tcPr>
            <w:tcW w:w="822" w:type="dxa"/>
            <w:tcBorders>
              <w:top w:val="nil"/>
              <w:left w:val="nil"/>
              <w:bottom w:val="single" w:sz="4" w:space="0" w:color="auto"/>
              <w:right w:val="single" w:sz="4" w:space="0" w:color="auto"/>
            </w:tcBorders>
            <w:shd w:val="clear" w:color="000000" w:fill="A9D08E"/>
            <w:noWrap/>
            <w:vAlign w:val="center"/>
            <w:hideMark/>
          </w:tcPr>
          <w:p w14:paraId="00BCA2C9"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53.03%</w:t>
            </w:r>
          </w:p>
        </w:tc>
      </w:tr>
      <w:tr w:rsidR="00C27366" w:rsidRPr="00075913" w14:paraId="390D310A"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0C979E6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December 8, 2023</w:t>
            </w:r>
          </w:p>
        </w:tc>
        <w:tc>
          <w:tcPr>
            <w:tcW w:w="586" w:type="dxa"/>
            <w:tcBorders>
              <w:top w:val="nil"/>
              <w:left w:val="nil"/>
              <w:bottom w:val="single" w:sz="4" w:space="0" w:color="auto"/>
              <w:right w:val="single" w:sz="4" w:space="0" w:color="auto"/>
            </w:tcBorders>
            <w:shd w:val="clear" w:color="auto" w:fill="auto"/>
            <w:noWrap/>
            <w:vAlign w:val="center"/>
            <w:hideMark/>
          </w:tcPr>
          <w:p w14:paraId="2FA4A94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11</w:t>
            </w:r>
          </w:p>
        </w:tc>
        <w:tc>
          <w:tcPr>
            <w:tcW w:w="795" w:type="dxa"/>
            <w:tcBorders>
              <w:top w:val="nil"/>
              <w:left w:val="nil"/>
              <w:bottom w:val="single" w:sz="4" w:space="0" w:color="auto"/>
              <w:right w:val="single" w:sz="4" w:space="0" w:color="auto"/>
            </w:tcBorders>
            <w:shd w:val="clear" w:color="auto" w:fill="auto"/>
            <w:noWrap/>
            <w:vAlign w:val="center"/>
            <w:hideMark/>
          </w:tcPr>
          <w:p w14:paraId="5AFE52F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795" w:type="dxa"/>
            <w:tcBorders>
              <w:top w:val="nil"/>
              <w:left w:val="nil"/>
              <w:bottom w:val="single" w:sz="4" w:space="0" w:color="auto"/>
              <w:right w:val="single" w:sz="4" w:space="0" w:color="auto"/>
            </w:tcBorders>
            <w:shd w:val="clear" w:color="auto" w:fill="auto"/>
            <w:noWrap/>
            <w:vAlign w:val="center"/>
            <w:hideMark/>
          </w:tcPr>
          <w:p w14:paraId="69C2CA7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40.00%</w:t>
            </w:r>
          </w:p>
        </w:tc>
        <w:tc>
          <w:tcPr>
            <w:tcW w:w="843" w:type="dxa"/>
            <w:tcBorders>
              <w:top w:val="nil"/>
              <w:left w:val="nil"/>
              <w:bottom w:val="single" w:sz="4" w:space="0" w:color="auto"/>
              <w:right w:val="single" w:sz="4" w:space="0" w:color="auto"/>
            </w:tcBorders>
            <w:shd w:val="clear" w:color="auto" w:fill="auto"/>
            <w:noWrap/>
            <w:vAlign w:val="center"/>
            <w:hideMark/>
          </w:tcPr>
          <w:p w14:paraId="70DD27A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6F47A40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2A6DC4A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501E994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40EB2BB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43" w:type="dxa"/>
            <w:tcBorders>
              <w:top w:val="nil"/>
              <w:left w:val="nil"/>
              <w:bottom w:val="single" w:sz="4" w:space="0" w:color="auto"/>
              <w:right w:val="single" w:sz="4" w:space="0" w:color="auto"/>
            </w:tcBorders>
            <w:shd w:val="clear" w:color="auto" w:fill="auto"/>
            <w:noWrap/>
            <w:vAlign w:val="center"/>
            <w:hideMark/>
          </w:tcPr>
          <w:p w14:paraId="18F9973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3A2A597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05B61CB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58.33%</w:t>
            </w:r>
          </w:p>
        </w:tc>
        <w:tc>
          <w:tcPr>
            <w:tcW w:w="843" w:type="dxa"/>
            <w:tcBorders>
              <w:top w:val="nil"/>
              <w:left w:val="nil"/>
              <w:bottom w:val="single" w:sz="4" w:space="0" w:color="auto"/>
              <w:right w:val="single" w:sz="4" w:space="0" w:color="auto"/>
            </w:tcBorders>
            <w:shd w:val="clear" w:color="auto" w:fill="auto"/>
            <w:noWrap/>
            <w:vAlign w:val="center"/>
            <w:hideMark/>
          </w:tcPr>
          <w:p w14:paraId="3677879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2298BAA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583CEDC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347BFBE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44.44%</w:t>
            </w:r>
          </w:p>
        </w:tc>
        <w:tc>
          <w:tcPr>
            <w:tcW w:w="822" w:type="dxa"/>
            <w:tcBorders>
              <w:top w:val="nil"/>
              <w:left w:val="nil"/>
              <w:bottom w:val="single" w:sz="4" w:space="0" w:color="auto"/>
              <w:right w:val="single" w:sz="4" w:space="0" w:color="auto"/>
            </w:tcBorders>
            <w:shd w:val="clear" w:color="000000" w:fill="A9D08E"/>
            <w:noWrap/>
            <w:vAlign w:val="center"/>
            <w:hideMark/>
          </w:tcPr>
          <w:p w14:paraId="137CE295"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53.03%</w:t>
            </w:r>
          </w:p>
        </w:tc>
      </w:tr>
      <w:tr w:rsidR="00C27366" w:rsidRPr="00075913" w14:paraId="5BAACFFD"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4A1F2E5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December 15, 2023</w:t>
            </w:r>
          </w:p>
        </w:tc>
        <w:tc>
          <w:tcPr>
            <w:tcW w:w="586" w:type="dxa"/>
            <w:tcBorders>
              <w:top w:val="nil"/>
              <w:left w:val="nil"/>
              <w:bottom w:val="single" w:sz="4" w:space="0" w:color="auto"/>
              <w:right w:val="single" w:sz="4" w:space="0" w:color="auto"/>
            </w:tcBorders>
            <w:shd w:val="clear" w:color="auto" w:fill="auto"/>
            <w:noWrap/>
            <w:vAlign w:val="center"/>
            <w:hideMark/>
          </w:tcPr>
          <w:p w14:paraId="2941940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12</w:t>
            </w:r>
          </w:p>
        </w:tc>
        <w:tc>
          <w:tcPr>
            <w:tcW w:w="795" w:type="dxa"/>
            <w:tcBorders>
              <w:top w:val="nil"/>
              <w:left w:val="nil"/>
              <w:bottom w:val="single" w:sz="4" w:space="0" w:color="auto"/>
              <w:right w:val="single" w:sz="4" w:space="0" w:color="auto"/>
            </w:tcBorders>
            <w:shd w:val="clear" w:color="auto" w:fill="auto"/>
            <w:noWrap/>
            <w:vAlign w:val="center"/>
            <w:hideMark/>
          </w:tcPr>
          <w:p w14:paraId="53D9856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795" w:type="dxa"/>
            <w:tcBorders>
              <w:top w:val="nil"/>
              <w:left w:val="nil"/>
              <w:bottom w:val="single" w:sz="4" w:space="0" w:color="auto"/>
              <w:right w:val="single" w:sz="4" w:space="0" w:color="auto"/>
            </w:tcBorders>
            <w:shd w:val="clear" w:color="auto" w:fill="auto"/>
            <w:noWrap/>
            <w:vAlign w:val="center"/>
            <w:hideMark/>
          </w:tcPr>
          <w:p w14:paraId="5ADF694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47D5BC3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67%</w:t>
            </w:r>
          </w:p>
        </w:tc>
        <w:tc>
          <w:tcPr>
            <w:tcW w:w="843" w:type="dxa"/>
            <w:tcBorders>
              <w:top w:val="nil"/>
              <w:left w:val="nil"/>
              <w:bottom w:val="single" w:sz="4" w:space="0" w:color="auto"/>
              <w:right w:val="single" w:sz="4" w:space="0" w:color="auto"/>
            </w:tcBorders>
            <w:shd w:val="clear" w:color="auto" w:fill="auto"/>
            <w:noWrap/>
            <w:vAlign w:val="center"/>
            <w:hideMark/>
          </w:tcPr>
          <w:p w14:paraId="6DA2E03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1C7FEA4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w:t>
            </w:r>
          </w:p>
        </w:tc>
        <w:tc>
          <w:tcPr>
            <w:tcW w:w="843" w:type="dxa"/>
            <w:tcBorders>
              <w:top w:val="nil"/>
              <w:left w:val="nil"/>
              <w:bottom w:val="single" w:sz="4" w:space="0" w:color="auto"/>
              <w:right w:val="single" w:sz="4" w:space="0" w:color="auto"/>
            </w:tcBorders>
            <w:shd w:val="clear" w:color="auto" w:fill="auto"/>
            <w:noWrap/>
            <w:vAlign w:val="center"/>
            <w:hideMark/>
          </w:tcPr>
          <w:p w14:paraId="724B996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59490F0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62D2A79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4674CF4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0A3FEAA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511A9E3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053402F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3761870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3387041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22" w:type="dxa"/>
            <w:tcBorders>
              <w:top w:val="nil"/>
              <w:left w:val="nil"/>
              <w:bottom w:val="single" w:sz="4" w:space="0" w:color="auto"/>
              <w:right w:val="single" w:sz="4" w:space="0" w:color="auto"/>
            </w:tcBorders>
            <w:shd w:val="clear" w:color="000000" w:fill="A9D08E"/>
            <w:noWrap/>
            <w:vAlign w:val="center"/>
            <w:hideMark/>
          </w:tcPr>
          <w:p w14:paraId="5DB3F42A"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97.00%</w:t>
            </w:r>
          </w:p>
        </w:tc>
      </w:tr>
      <w:tr w:rsidR="00C27366" w:rsidRPr="00075913" w14:paraId="2BC3989F"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42FA09D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December 22, 2023</w:t>
            </w:r>
          </w:p>
        </w:tc>
        <w:tc>
          <w:tcPr>
            <w:tcW w:w="586" w:type="dxa"/>
            <w:tcBorders>
              <w:top w:val="nil"/>
              <w:left w:val="nil"/>
              <w:bottom w:val="single" w:sz="4" w:space="0" w:color="auto"/>
              <w:right w:val="single" w:sz="4" w:space="0" w:color="auto"/>
            </w:tcBorders>
            <w:shd w:val="clear" w:color="auto" w:fill="auto"/>
            <w:noWrap/>
            <w:vAlign w:val="center"/>
            <w:hideMark/>
          </w:tcPr>
          <w:p w14:paraId="0D58F47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13</w:t>
            </w:r>
          </w:p>
        </w:tc>
        <w:tc>
          <w:tcPr>
            <w:tcW w:w="795" w:type="dxa"/>
            <w:tcBorders>
              <w:top w:val="nil"/>
              <w:left w:val="nil"/>
              <w:bottom w:val="single" w:sz="4" w:space="0" w:color="auto"/>
              <w:right w:val="single" w:sz="4" w:space="0" w:color="auto"/>
            </w:tcBorders>
            <w:shd w:val="clear" w:color="auto" w:fill="auto"/>
            <w:noWrap/>
            <w:vAlign w:val="center"/>
            <w:hideMark/>
          </w:tcPr>
          <w:p w14:paraId="28A683B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795" w:type="dxa"/>
            <w:tcBorders>
              <w:top w:val="nil"/>
              <w:left w:val="nil"/>
              <w:bottom w:val="single" w:sz="4" w:space="0" w:color="auto"/>
              <w:right w:val="single" w:sz="4" w:space="0" w:color="auto"/>
            </w:tcBorders>
            <w:shd w:val="clear" w:color="auto" w:fill="auto"/>
            <w:noWrap/>
            <w:vAlign w:val="center"/>
            <w:hideMark/>
          </w:tcPr>
          <w:p w14:paraId="1718F10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55.56%</w:t>
            </w:r>
          </w:p>
        </w:tc>
        <w:tc>
          <w:tcPr>
            <w:tcW w:w="843" w:type="dxa"/>
            <w:tcBorders>
              <w:top w:val="nil"/>
              <w:left w:val="nil"/>
              <w:bottom w:val="single" w:sz="4" w:space="0" w:color="auto"/>
              <w:right w:val="single" w:sz="4" w:space="0" w:color="auto"/>
            </w:tcBorders>
            <w:shd w:val="clear" w:color="auto" w:fill="auto"/>
            <w:noWrap/>
            <w:vAlign w:val="center"/>
            <w:hideMark/>
          </w:tcPr>
          <w:p w14:paraId="32E4888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045709E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1A23886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6033EA8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42B9D99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6EDE7DA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6887682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2DB37D0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59CF6B3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05515E1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1D92B5C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20535F1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22.22%</w:t>
            </w:r>
          </w:p>
        </w:tc>
        <w:tc>
          <w:tcPr>
            <w:tcW w:w="822" w:type="dxa"/>
            <w:tcBorders>
              <w:top w:val="nil"/>
              <w:left w:val="nil"/>
              <w:bottom w:val="single" w:sz="4" w:space="0" w:color="auto"/>
              <w:right w:val="single" w:sz="4" w:space="0" w:color="auto"/>
            </w:tcBorders>
            <w:shd w:val="clear" w:color="000000" w:fill="A9D08E"/>
            <w:noWrap/>
            <w:vAlign w:val="center"/>
            <w:hideMark/>
          </w:tcPr>
          <w:p w14:paraId="3973D51D"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53.03%</w:t>
            </w:r>
          </w:p>
        </w:tc>
      </w:tr>
      <w:tr w:rsidR="00C27366" w:rsidRPr="00075913" w14:paraId="426765D3"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09C2D27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December 29, 2023</w:t>
            </w:r>
          </w:p>
        </w:tc>
        <w:tc>
          <w:tcPr>
            <w:tcW w:w="586" w:type="dxa"/>
            <w:tcBorders>
              <w:top w:val="nil"/>
              <w:left w:val="nil"/>
              <w:bottom w:val="single" w:sz="4" w:space="0" w:color="auto"/>
              <w:right w:val="single" w:sz="4" w:space="0" w:color="auto"/>
            </w:tcBorders>
            <w:shd w:val="clear" w:color="auto" w:fill="auto"/>
            <w:noWrap/>
            <w:vAlign w:val="center"/>
            <w:hideMark/>
          </w:tcPr>
          <w:p w14:paraId="1212179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14</w:t>
            </w:r>
          </w:p>
        </w:tc>
        <w:tc>
          <w:tcPr>
            <w:tcW w:w="795" w:type="dxa"/>
            <w:tcBorders>
              <w:top w:val="nil"/>
              <w:left w:val="nil"/>
              <w:bottom w:val="single" w:sz="4" w:space="0" w:color="auto"/>
              <w:right w:val="single" w:sz="4" w:space="0" w:color="auto"/>
            </w:tcBorders>
            <w:shd w:val="clear" w:color="auto" w:fill="auto"/>
            <w:noWrap/>
            <w:vAlign w:val="center"/>
            <w:hideMark/>
          </w:tcPr>
          <w:p w14:paraId="5B200AA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71.43%</w:t>
            </w:r>
          </w:p>
        </w:tc>
        <w:tc>
          <w:tcPr>
            <w:tcW w:w="795" w:type="dxa"/>
            <w:tcBorders>
              <w:top w:val="nil"/>
              <w:left w:val="nil"/>
              <w:bottom w:val="single" w:sz="4" w:space="0" w:color="auto"/>
              <w:right w:val="single" w:sz="4" w:space="0" w:color="auto"/>
            </w:tcBorders>
            <w:shd w:val="clear" w:color="auto" w:fill="auto"/>
            <w:noWrap/>
            <w:vAlign w:val="center"/>
            <w:hideMark/>
          </w:tcPr>
          <w:p w14:paraId="774623E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58DC305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1236F77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43" w:type="dxa"/>
            <w:tcBorders>
              <w:top w:val="nil"/>
              <w:left w:val="nil"/>
              <w:bottom w:val="single" w:sz="4" w:space="0" w:color="auto"/>
              <w:right w:val="single" w:sz="4" w:space="0" w:color="auto"/>
            </w:tcBorders>
            <w:shd w:val="clear" w:color="auto" w:fill="auto"/>
            <w:noWrap/>
            <w:vAlign w:val="center"/>
            <w:hideMark/>
          </w:tcPr>
          <w:p w14:paraId="61BF2CE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40.00%</w:t>
            </w:r>
          </w:p>
        </w:tc>
        <w:tc>
          <w:tcPr>
            <w:tcW w:w="843" w:type="dxa"/>
            <w:tcBorders>
              <w:top w:val="nil"/>
              <w:left w:val="nil"/>
              <w:bottom w:val="single" w:sz="4" w:space="0" w:color="auto"/>
              <w:right w:val="single" w:sz="4" w:space="0" w:color="auto"/>
            </w:tcBorders>
            <w:shd w:val="clear" w:color="auto" w:fill="auto"/>
            <w:noWrap/>
            <w:vAlign w:val="center"/>
            <w:hideMark/>
          </w:tcPr>
          <w:p w14:paraId="7E2A49A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375833D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4DC933A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3ACEFC6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14.29%</w:t>
            </w:r>
          </w:p>
        </w:tc>
        <w:tc>
          <w:tcPr>
            <w:tcW w:w="843" w:type="dxa"/>
            <w:tcBorders>
              <w:top w:val="nil"/>
              <w:left w:val="nil"/>
              <w:bottom w:val="single" w:sz="4" w:space="0" w:color="auto"/>
              <w:right w:val="single" w:sz="4" w:space="0" w:color="auto"/>
            </w:tcBorders>
            <w:shd w:val="clear" w:color="auto" w:fill="auto"/>
            <w:noWrap/>
            <w:vAlign w:val="center"/>
            <w:hideMark/>
          </w:tcPr>
          <w:p w14:paraId="31B710B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12.50%</w:t>
            </w:r>
          </w:p>
        </w:tc>
        <w:tc>
          <w:tcPr>
            <w:tcW w:w="843" w:type="dxa"/>
            <w:tcBorders>
              <w:top w:val="nil"/>
              <w:left w:val="nil"/>
              <w:bottom w:val="single" w:sz="4" w:space="0" w:color="auto"/>
              <w:right w:val="single" w:sz="4" w:space="0" w:color="auto"/>
            </w:tcBorders>
            <w:shd w:val="clear" w:color="auto" w:fill="auto"/>
            <w:noWrap/>
            <w:vAlign w:val="center"/>
            <w:hideMark/>
          </w:tcPr>
          <w:p w14:paraId="5708B62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04421F6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40.00%</w:t>
            </w:r>
          </w:p>
        </w:tc>
        <w:tc>
          <w:tcPr>
            <w:tcW w:w="843" w:type="dxa"/>
            <w:tcBorders>
              <w:top w:val="nil"/>
              <w:left w:val="nil"/>
              <w:bottom w:val="single" w:sz="4" w:space="0" w:color="auto"/>
              <w:right w:val="single" w:sz="4" w:space="0" w:color="auto"/>
            </w:tcBorders>
            <w:shd w:val="clear" w:color="auto" w:fill="auto"/>
            <w:noWrap/>
            <w:vAlign w:val="center"/>
            <w:hideMark/>
          </w:tcPr>
          <w:p w14:paraId="77BAEB8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58EAC70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55.56%</w:t>
            </w:r>
          </w:p>
        </w:tc>
        <w:tc>
          <w:tcPr>
            <w:tcW w:w="822" w:type="dxa"/>
            <w:tcBorders>
              <w:top w:val="nil"/>
              <w:left w:val="nil"/>
              <w:bottom w:val="single" w:sz="4" w:space="0" w:color="auto"/>
              <w:right w:val="single" w:sz="4" w:space="0" w:color="auto"/>
            </w:tcBorders>
            <w:shd w:val="clear" w:color="000000" w:fill="A9D08E"/>
            <w:noWrap/>
            <w:vAlign w:val="center"/>
            <w:hideMark/>
          </w:tcPr>
          <w:p w14:paraId="41E3274C"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46.97%</w:t>
            </w:r>
          </w:p>
        </w:tc>
      </w:tr>
      <w:tr w:rsidR="00C27366" w:rsidRPr="00075913" w14:paraId="0F38B451"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13BA39F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January 5, 2024</w:t>
            </w:r>
          </w:p>
        </w:tc>
        <w:tc>
          <w:tcPr>
            <w:tcW w:w="586" w:type="dxa"/>
            <w:tcBorders>
              <w:top w:val="nil"/>
              <w:left w:val="nil"/>
              <w:bottom w:val="single" w:sz="4" w:space="0" w:color="auto"/>
              <w:right w:val="single" w:sz="4" w:space="0" w:color="auto"/>
            </w:tcBorders>
            <w:shd w:val="clear" w:color="auto" w:fill="auto"/>
            <w:noWrap/>
            <w:vAlign w:val="center"/>
            <w:hideMark/>
          </w:tcPr>
          <w:p w14:paraId="6A4EFBF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15</w:t>
            </w:r>
          </w:p>
        </w:tc>
        <w:tc>
          <w:tcPr>
            <w:tcW w:w="795" w:type="dxa"/>
            <w:tcBorders>
              <w:top w:val="nil"/>
              <w:left w:val="nil"/>
              <w:bottom w:val="single" w:sz="4" w:space="0" w:color="auto"/>
              <w:right w:val="single" w:sz="4" w:space="0" w:color="auto"/>
            </w:tcBorders>
            <w:shd w:val="clear" w:color="auto" w:fill="auto"/>
            <w:noWrap/>
            <w:vAlign w:val="center"/>
            <w:hideMark/>
          </w:tcPr>
          <w:p w14:paraId="732626B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795" w:type="dxa"/>
            <w:tcBorders>
              <w:top w:val="nil"/>
              <w:left w:val="nil"/>
              <w:bottom w:val="single" w:sz="4" w:space="0" w:color="auto"/>
              <w:right w:val="single" w:sz="4" w:space="0" w:color="auto"/>
            </w:tcBorders>
            <w:shd w:val="clear" w:color="auto" w:fill="auto"/>
            <w:noWrap/>
            <w:vAlign w:val="center"/>
            <w:hideMark/>
          </w:tcPr>
          <w:p w14:paraId="19A967A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12FAF5B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40B2661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1702978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597C11D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07C4A83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1E751FC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0E5166D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40.00%</w:t>
            </w:r>
          </w:p>
        </w:tc>
        <w:tc>
          <w:tcPr>
            <w:tcW w:w="843" w:type="dxa"/>
            <w:tcBorders>
              <w:top w:val="nil"/>
              <w:left w:val="nil"/>
              <w:bottom w:val="single" w:sz="4" w:space="0" w:color="auto"/>
              <w:right w:val="single" w:sz="4" w:space="0" w:color="auto"/>
            </w:tcBorders>
            <w:shd w:val="clear" w:color="auto" w:fill="auto"/>
            <w:noWrap/>
            <w:vAlign w:val="center"/>
            <w:hideMark/>
          </w:tcPr>
          <w:p w14:paraId="63E42E5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70.00%</w:t>
            </w:r>
          </w:p>
        </w:tc>
        <w:tc>
          <w:tcPr>
            <w:tcW w:w="843" w:type="dxa"/>
            <w:tcBorders>
              <w:top w:val="nil"/>
              <w:left w:val="nil"/>
              <w:bottom w:val="single" w:sz="4" w:space="0" w:color="auto"/>
              <w:right w:val="single" w:sz="4" w:space="0" w:color="auto"/>
            </w:tcBorders>
            <w:shd w:val="clear" w:color="auto" w:fill="auto"/>
            <w:noWrap/>
            <w:vAlign w:val="center"/>
            <w:hideMark/>
          </w:tcPr>
          <w:p w14:paraId="43D365D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1FF71B4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65DE971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43" w:type="dxa"/>
            <w:tcBorders>
              <w:top w:val="nil"/>
              <w:left w:val="nil"/>
              <w:bottom w:val="single" w:sz="4" w:space="0" w:color="auto"/>
              <w:right w:val="single" w:sz="4" w:space="0" w:color="auto"/>
            </w:tcBorders>
            <w:shd w:val="clear" w:color="auto" w:fill="auto"/>
            <w:noWrap/>
            <w:vAlign w:val="center"/>
            <w:hideMark/>
          </w:tcPr>
          <w:p w14:paraId="2757F3F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62.50%</w:t>
            </w:r>
          </w:p>
        </w:tc>
        <w:tc>
          <w:tcPr>
            <w:tcW w:w="822" w:type="dxa"/>
            <w:tcBorders>
              <w:top w:val="nil"/>
              <w:left w:val="nil"/>
              <w:bottom w:val="single" w:sz="4" w:space="0" w:color="auto"/>
              <w:right w:val="single" w:sz="4" w:space="0" w:color="auto"/>
            </w:tcBorders>
            <w:shd w:val="clear" w:color="000000" w:fill="A9D08E"/>
            <w:noWrap/>
            <w:vAlign w:val="center"/>
            <w:hideMark/>
          </w:tcPr>
          <w:p w14:paraId="74377963"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54.55%</w:t>
            </w:r>
          </w:p>
        </w:tc>
      </w:tr>
      <w:tr w:rsidR="00C27366" w:rsidRPr="00075913" w14:paraId="47105AA5"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0D6A49E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January 12, 2024</w:t>
            </w:r>
          </w:p>
        </w:tc>
        <w:tc>
          <w:tcPr>
            <w:tcW w:w="586" w:type="dxa"/>
            <w:tcBorders>
              <w:top w:val="nil"/>
              <w:left w:val="nil"/>
              <w:bottom w:val="single" w:sz="4" w:space="0" w:color="auto"/>
              <w:right w:val="single" w:sz="4" w:space="0" w:color="auto"/>
            </w:tcBorders>
            <w:shd w:val="clear" w:color="auto" w:fill="auto"/>
            <w:noWrap/>
            <w:vAlign w:val="center"/>
            <w:hideMark/>
          </w:tcPr>
          <w:p w14:paraId="41A167B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16</w:t>
            </w:r>
          </w:p>
        </w:tc>
        <w:tc>
          <w:tcPr>
            <w:tcW w:w="795" w:type="dxa"/>
            <w:tcBorders>
              <w:top w:val="nil"/>
              <w:left w:val="nil"/>
              <w:bottom w:val="single" w:sz="4" w:space="0" w:color="auto"/>
              <w:right w:val="single" w:sz="4" w:space="0" w:color="auto"/>
            </w:tcBorders>
            <w:shd w:val="clear" w:color="auto" w:fill="auto"/>
            <w:noWrap/>
            <w:vAlign w:val="center"/>
            <w:hideMark/>
          </w:tcPr>
          <w:p w14:paraId="6815116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795" w:type="dxa"/>
            <w:tcBorders>
              <w:top w:val="nil"/>
              <w:left w:val="nil"/>
              <w:bottom w:val="single" w:sz="4" w:space="0" w:color="auto"/>
              <w:right w:val="single" w:sz="4" w:space="0" w:color="auto"/>
            </w:tcBorders>
            <w:shd w:val="clear" w:color="auto" w:fill="auto"/>
            <w:noWrap/>
            <w:vAlign w:val="center"/>
            <w:hideMark/>
          </w:tcPr>
          <w:p w14:paraId="0B4882A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40.00%</w:t>
            </w:r>
          </w:p>
        </w:tc>
        <w:tc>
          <w:tcPr>
            <w:tcW w:w="843" w:type="dxa"/>
            <w:tcBorders>
              <w:top w:val="nil"/>
              <w:left w:val="nil"/>
              <w:bottom w:val="single" w:sz="4" w:space="0" w:color="auto"/>
              <w:right w:val="single" w:sz="4" w:space="0" w:color="auto"/>
            </w:tcBorders>
            <w:shd w:val="clear" w:color="auto" w:fill="auto"/>
            <w:noWrap/>
            <w:vAlign w:val="center"/>
            <w:hideMark/>
          </w:tcPr>
          <w:p w14:paraId="77C9981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0BDC662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214797D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529923B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43" w:type="dxa"/>
            <w:tcBorders>
              <w:top w:val="nil"/>
              <w:left w:val="nil"/>
              <w:bottom w:val="single" w:sz="4" w:space="0" w:color="auto"/>
              <w:right w:val="single" w:sz="4" w:space="0" w:color="auto"/>
            </w:tcBorders>
            <w:shd w:val="clear" w:color="auto" w:fill="auto"/>
            <w:noWrap/>
            <w:vAlign w:val="center"/>
            <w:hideMark/>
          </w:tcPr>
          <w:p w14:paraId="57FC130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7C739EF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7AA5F08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4B0A191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30.00%</w:t>
            </w:r>
          </w:p>
        </w:tc>
        <w:tc>
          <w:tcPr>
            <w:tcW w:w="843" w:type="dxa"/>
            <w:tcBorders>
              <w:top w:val="nil"/>
              <w:left w:val="nil"/>
              <w:bottom w:val="single" w:sz="4" w:space="0" w:color="auto"/>
              <w:right w:val="single" w:sz="4" w:space="0" w:color="auto"/>
            </w:tcBorders>
            <w:shd w:val="clear" w:color="auto" w:fill="auto"/>
            <w:noWrap/>
            <w:vAlign w:val="center"/>
            <w:hideMark/>
          </w:tcPr>
          <w:p w14:paraId="5D70F59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518AC68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53EFCC2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43" w:type="dxa"/>
            <w:tcBorders>
              <w:top w:val="nil"/>
              <w:left w:val="nil"/>
              <w:bottom w:val="single" w:sz="4" w:space="0" w:color="auto"/>
              <w:right w:val="single" w:sz="4" w:space="0" w:color="auto"/>
            </w:tcBorders>
            <w:shd w:val="clear" w:color="auto" w:fill="auto"/>
            <w:noWrap/>
            <w:vAlign w:val="center"/>
            <w:hideMark/>
          </w:tcPr>
          <w:p w14:paraId="31774E6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22" w:type="dxa"/>
            <w:tcBorders>
              <w:top w:val="nil"/>
              <w:left w:val="nil"/>
              <w:bottom w:val="single" w:sz="4" w:space="0" w:color="auto"/>
              <w:right w:val="single" w:sz="4" w:space="0" w:color="auto"/>
            </w:tcBorders>
            <w:shd w:val="clear" w:color="000000" w:fill="A9D08E"/>
            <w:noWrap/>
            <w:vAlign w:val="center"/>
            <w:hideMark/>
          </w:tcPr>
          <w:p w14:paraId="4907B0A4"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43.94%</w:t>
            </w:r>
          </w:p>
        </w:tc>
      </w:tr>
      <w:tr w:rsidR="00C27366" w:rsidRPr="00075913" w14:paraId="07FFA9B8"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5972485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January 19, 2024</w:t>
            </w:r>
          </w:p>
        </w:tc>
        <w:tc>
          <w:tcPr>
            <w:tcW w:w="586" w:type="dxa"/>
            <w:tcBorders>
              <w:top w:val="nil"/>
              <w:left w:val="nil"/>
              <w:bottom w:val="single" w:sz="4" w:space="0" w:color="auto"/>
              <w:right w:val="single" w:sz="4" w:space="0" w:color="auto"/>
            </w:tcBorders>
            <w:shd w:val="clear" w:color="auto" w:fill="auto"/>
            <w:noWrap/>
            <w:vAlign w:val="center"/>
            <w:hideMark/>
          </w:tcPr>
          <w:p w14:paraId="104D96E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17</w:t>
            </w:r>
          </w:p>
        </w:tc>
        <w:tc>
          <w:tcPr>
            <w:tcW w:w="795" w:type="dxa"/>
            <w:tcBorders>
              <w:top w:val="nil"/>
              <w:left w:val="nil"/>
              <w:bottom w:val="single" w:sz="4" w:space="0" w:color="auto"/>
              <w:right w:val="single" w:sz="4" w:space="0" w:color="auto"/>
            </w:tcBorders>
            <w:shd w:val="clear" w:color="auto" w:fill="auto"/>
            <w:noWrap/>
            <w:vAlign w:val="center"/>
            <w:hideMark/>
          </w:tcPr>
          <w:p w14:paraId="0BA40F3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795" w:type="dxa"/>
            <w:tcBorders>
              <w:top w:val="nil"/>
              <w:left w:val="nil"/>
              <w:bottom w:val="single" w:sz="4" w:space="0" w:color="auto"/>
              <w:right w:val="single" w:sz="4" w:space="0" w:color="auto"/>
            </w:tcBorders>
            <w:shd w:val="clear" w:color="auto" w:fill="auto"/>
            <w:noWrap/>
            <w:vAlign w:val="center"/>
            <w:hideMark/>
          </w:tcPr>
          <w:p w14:paraId="2FE77F6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90.00%</w:t>
            </w:r>
          </w:p>
        </w:tc>
        <w:tc>
          <w:tcPr>
            <w:tcW w:w="843" w:type="dxa"/>
            <w:tcBorders>
              <w:top w:val="nil"/>
              <w:left w:val="nil"/>
              <w:bottom w:val="single" w:sz="4" w:space="0" w:color="auto"/>
              <w:right w:val="single" w:sz="4" w:space="0" w:color="auto"/>
            </w:tcBorders>
            <w:shd w:val="clear" w:color="auto" w:fill="auto"/>
            <w:noWrap/>
            <w:vAlign w:val="center"/>
            <w:hideMark/>
          </w:tcPr>
          <w:p w14:paraId="5F0F598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6AEA51F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80.00%</w:t>
            </w:r>
          </w:p>
        </w:tc>
        <w:tc>
          <w:tcPr>
            <w:tcW w:w="843" w:type="dxa"/>
            <w:tcBorders>
              <w:top w:val="nil"/>
              <w:left w:val="nil"/>
              <w:bottom w:val="single" w:sz="4" w:space="0" w:color="auto"/>
              <w:right w:val="single" w:sz="4" w:space="0" w:color="auto"/>
            </w:tcBorders>
            <w:shd w:val="clear" w:color="auto" w:fill="auto"/>
            <w:noWrap/>
            <w:vAlign w:val="center"/>
            <w:hideMark/>
          </w:tcPr>
          <w:p w14:paraId="3A57DE0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57ED964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50AACC3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4368B96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239CE44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54EE656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58B5636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80.00%</w:t>
            </w:r>
          </w:p>
        </w:tc>
        <w:tc>
          <w:tcPr>
            <w:tcW w:w="843" w:type="dxa"/>
            <w:tcBorders>
              <w:top w:val="nil"/>
              <w:left w:val="nil"/>
              <w:bottom w:val="single" w:sz="4" w:space="0" w:color="auto"/>
              <w:right w:val="single" w:sz="4" w:space="0" w:color="auto"/>
            </w:tcBorders>
            <w:shd w:val="clear" w:color="auto" w:fill="auto"/>
            <w:noWrap/>
            <w:vAlign w:val="center"/>
            <w:hideMark/>
          </w:tcPr>
          <w:p w14:paraId="41B2723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75D4194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43" w:type="dxa"/>
            <w:tcBorders>
              <w:top w:val="nil"/>
              <w:left w:val="nil"/>
              <w:bottom w:val="single" w:sz="4" w:space="0" w:color="auto"/>
              <w:right w:val="single" w:sz="4" w:space="0" w:color="auto"/>
            </w:tcBorders>
            <w:shd w:val="clear" w:color="auto" w:fill="auto"/>
            <w:noWrap/>
            <w:vAlign w:val="center"/>
            <w:hideMark/>
          </w:tcPr>
          <w:p w14:paraId="64DB3B5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22" w:type="dxa"/>
            <w:tcBorders>
              <w:top w:val="nil"/>
              <w:left w:val="nil"/>
              <w:bottom w:val="single" w:sz="4" w:space="0" w:color="auto"/>
              <w:right w:val="single" w:sz="4" w:space="0" w:color="auto"/>
            </w:tcBorders>
            <w:shd w:val="clear" w:color="000000" w:fill="A9D08E"/>
            <w:noWrap/>
            <w:vAlign w:val="center"/>
            <w:hideMark/>
          </w:tcPr>
          <w:p w14:paraId="49817F5B"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66.67%</w:t>
            </w:r>
          </w:p>
        </w:tc>
      </w:tr>
      <w:tr w:rsidR="00C27366" w:rsidRPr="00075913" w14:paraId="73BFEA1A"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761E9B4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January 26, 2024</w:t>
            </w:r>
          </w:p>
        </w:tc>
        <w:tc>
          <w:tcPr>
            <w:tcW w:w="586" w:type="dxa"/>
            <w:tcBorders>
              <w:top w:val="nil"/>
              <w:left w:val="nil"/>
              <w:bottom w:val="single" w:sz="4" w:space="0" w:color="auto"/>
              <w:right w:val="single" w:sz="4" w:space="0" w:color="auto"/>
            </w:tcBorders>
            <w:shd w:val="clear" w:color="auto" w:fill="auto"/>
            <w:noWrap/>
            <w:vAlign w:val="center"/>
            <w:hideMark/>
          </w:tcPr>
          <w:p w14:paraId="0F38162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18</w:t>
            </w:r>
          </w:p>
        </w:tc>
        <w:tc>
          <w:tcPr>
            <w:tcW w:w="795" w:type="dxa"/>
            <w:tcBorders>
              <w:top w:val="nil"/>
              <w:left w:val="nil"/>
              <w:bottom w:val="single" w:sz="4" w:space="0" w:color="auto"/>
              <w:right w:val="single" w:sz="4" w:space="0" w:color="auto"/>
            </w:tcBorders>
            <w:shd w:val="clear" w:color="auto" w:fill="auto"/>
            <w:noWrap/>
            <w:vAlign w:val="center"/>
            <w:hideMark/>
          </w:tcPr>
          <w:p w14:paraId="75B615A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85.71%</w:t>
            </w:r>
          </w:p>
        </w:tc>
        <w:tc>
          <w:tcPr>
            <w:tcW w:w="795" w:type="dxa"/>
            <w:tcBorders>
              <w:top w:val="nil"/>
              <w:left w:val="nil"/>
              <w:bottom w:val="single" w:sz="4" w:space="0" w:color="auto"/>
              <w:right w:val="single" w:sz="4" w:space="0" w:color="auto"/>
            </w:tcBorders>
            <w:shd w:val="clear" w:color="auto" w:fill="auto"/>
            <w:noWrap/>
            <w:vAlign w:val="center"/>
            <w:hideMark/>
          </w:tcPr>
          <w:p w14:paraId="656998C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1F1821D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7BD699A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72D295F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13D09C1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25.00%</w:t>
            </w:r>
          </w:p>
        </w:tc>
        <w:tc>
          <w:tcPr>
            <w:tcW w:w="843" w:type="dxa"/>
            <w:tcBorders>
              <w:top w:val="nil"/>
              <w:left w:val="nil"/>
              <w:bottom w:val="single" w:sz="4" w:space="0" w:color="auto"/>
              <w:right w:val="single" w:sz="4" w:space="0" w:color="auto"/>
            </w:tcBorders>
            <w:shd w:val="clear" w:color="auto" w:fill="auto"/>
            <w:noWrap/>
            <w:vAlign w:val="center"/>
            <w:hideMark/>
          </w:tcPr>
          <w:p w14:paraId="450028F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322F8D8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6556388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62.50%</w:t>
            </w:r>
          </w:p>
        </w:tc>
        <w:tc>
          <w:tcPr>
            <w:tcW w:w="843" w:type="dxa"/>
            <w:tcBorders>
              <w:top w:val="nil"/>
              <w:left w:val="nil"/>
              <w:bottom w:val="single" w:sz="4" w:space="0" w:color="auto"/>
              <w:right w:val="single" w:sz="4" w:space="0" w:color="auto"/>
            </w:tcBorders>
            <w:shd w:val="clear" w:color="auto" w:fill="auto"/>
            <w:noWrap/>
            <w:vAlign w:val="center"/>
            <w:hideMark/>
          </w:tcPr>
          <w:p w14:paraId="37C493B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42.86%</w:t>
            </w:r>
          </w:p>
        </w:tc>
        <w:tc>
          <w:tcPr>
            <w:tcW w:w="843" w:type="dxa"/>
            <w:tcBorders>
              <w:top w:val="nil"/>
              <w:left w:val="nil"/>
              <w:bottom w:val="single" w:sz="4" w:space="0" w:color="auto"/>
              <w:right w:val="single" w:sz="4" w:space="0" w:color="auto"/>
            </w:tcBorders>
            <w:shd w:val="clear" w:color="auto" w:fill="auto"/>
            <w:noWrap/>
            <w:vAlign w:val="center"/>
            <w:hideMark/>
          </w:tcPr>
          <w:p w14:paraId="0B640EE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60.00%</w:t>
            </w:r>
          </w:p>
        </w:tc>
        <w:tc>
          <w:tcPr>
            <w:tcW w:w="843" w:type="dxa"/>
            <w:tcBorders>
              <w:top w:val="nil"/>
              <w:left w:val="nil"/>
              <w:bottom w:val="single" w:sz="4" w:space="0" w:color="auto"/>
              <w:right w:val="single" w:sz="4" w:space="0" w:color="auto"/>
            </w:tcBorders>
            <w:shd w:val="clear" w:color="auto" w:fill="auto"/>
            <w:noWrap/>
            <w:vAlign w:val="center"/>
            <w:hideMark/>
          </w:tcPr>
          <w:p w14:paraId="189B8C1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2259B9E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16.67%</w:t>
            </w:r>
          </w:p>
        </w:tc>
        <w:tc>
          <w:tcPr>
            <w:tcW w:w="843" w:type="dxa"/>
            <w:tcBorders>
              <w:top w:val="nil"/>
              <w:left w:val="nil"/>
              <w:bottom w:val="single" w:sz="4" w:space="0" w:color="auto"/>
              <w:right w:val="single" w:sz="4" w:space="0" w:color="auto"/>
            </w:tcBorders>
            <w:shd w:val="clear" w:color="auto" w:fill="auto"/>
            <w:noWrap/>
            <w:vAlign w:val="center"/>
            <w:hideMark/>
          </w:tcPr>
          <w:p w14:paraId="673D963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28.57%</w:t>
            </w:r>
          </w:p>
        </w:tc>
        <w:tc>
          <w:tcPr>
            <w:tcW w:w="822" w:type="dxa"/>
            <w:tcBorders>
              <w:top w:val="nil"/>
              <w:left w:val="nil"/>
              <w:bottom w:val="single" w:sz="4" w:space="0" w:color="auto"/>
              <w:right w:val="single" w:sz="4" w:space="0" w:color="auto"/>
            </w:tcBorders>
            <w:shd w:val="clear" w:color="000000" w:fill="A9D08E"/>
            <w:noWrap/>
            <w:vAlign w:val="center"/>
            <w:hideMark/>
          </w:tcPr>
          <w:p w14:paraId="40B82713"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50.00%</w:t>
            </w:r>
          </w:p>
        </w:tc>
      </w:tr>
      <w:tr w:rsidR="00C27366" w:rsidRPr="00075913" w14:paraId="4D7D8B46"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2484DE5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February 2, 2024</w:t>
            </w:r>
          </w:p>
        </w:tc>
        <w:tc>
          <w:tcPr>
            <w:tcW w:w="586" w:type="dxa"/>
            <w:tcBorders>
              <w:top w:val="nil"/>
              <w:left w:val="nil"/>
              <w:bottom w:val="single" w:sz="4" w:space="0" w:color="auto"/>
              <w:right w:val="single" w:sz="4" w:space="0" w:color="auto"/>
            </w:tcBorders>
            <w:shd w:val="clear" w:color="auto" w:fill="auto"/>
            <w:noWrap/>
            <w:vAlign w:val="center"/>
            <w:hideMark/>
          </w:tcPr>
          <w:p w14:paraId="18532D1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19</w:t>
            </w:r>
          </w:p>
        </w:tc>
        <w:tc>
          <w:tcPr>
            <w:tcW w:w="795" w:type="dxa"/>
            <w:tcBorders>
              <w:top w:val="nil"/>
              <w:left w:val="nil"/>
              <w:bottom w:val="single" w:sz="4" w:space="0" w:color="auto"/>
              <w:right w:val="single" w:sz="4" w:space="0" w:color="auto"/>
            </w:tcBorders>
            <w:shd w:val="clear" w:color="auto" w:fill="auto"/>
            <w:noWrap/>
            <w:vAlign w:val="center"/>
            <w:hideMark/>
          </w:tcPr>
          <w:p w14:paraId="49F591A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28.57%</w:t>
            </w:r>
          </w:p>
        </w:tc>
        <w:tc>
          <w:tcPr>
            <w:tcW w:w="795" w:type="dxa"/>
            <w:tcBorders>
              <w:top w:val="nil"/>
              <w:left w:val="nil"/>
              <w:bottom w:val="single" w:sz="4" w:space="0" w:color="auto"/>
              <w:right w:val="single" w:sz="4" w:space="0" w:color="auto"/>
            </w:tcBorders>
            <w:shd w:val="clear" w:color="auto" w:fill="auto"/>
            <w:noWrap/>
            <w:vAlign w:val="center"/>
            <w:hideMark/>
          </w:tcPr>
          <w:p w14:paraId="6CE1029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0F2D35A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5470C0A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049BB73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64D065B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29DAE1D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66.67%</w:t>
            </w:r>
          </w:p>
        </w:tc>
        <w:tc>
          <w:tcPr>
            <w:tcW w:w="843" w:type="dxa"/>
            <w:tcBorders>
              <w:top w:val="nil"/>
              <w:left w:val="nil"/>
              <w:bottom w:val="single" w:sz="4" w:space="0" w:color="auto"/>
              <w:right w:val="single" w:sz="4" w:space="0" w:color="auto"/>
            </w:tcBorders>
            <w:shd w:val="clear" w:color="auto" w:fill="auto"/>
            <w:noWrap/>
            <w:vAlign w:val="center"/>
            <w:hideMark/>
          </w:tcPr>
          <w:p w14:paraId="4D15DB9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5A958FA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37.50%</w:t>
            </w:r>
          </w:p>
        </w:tc>
        <w:tc>
          <w:tcPr>
            <w:tcW w:w="843" w:type="dxa"/>
            <w:tcBorders>
              <w:top w:val="nil"/>
              <w:left w:val="nil"/>
              <w:bottom w:val="single" w:sz="4" w:space="0" w:color="auto"/>
              <w:right w:val="single" w:sz="4" w:space="0" w:color="auto"/>
            </w:tcBorders>
            <w:shd w:val="clear" w:color="auto" w:fill="auto"/>
            <w:noWrap/>
            <w:vAlign w:val="center"/>
            <w:hideMark/>
          </w:tcPr>
          <w:p w14:paraId="36B4360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28.57%</w:t>
            </w:r>
          </w:p>
        </w:tc>
        <w:tc>
          <w:tcPr>
            <w:tcW w:w="843" w:type="dxa"/>
            <w:tcBorders>
              <w:top w:val="nil"/>
              <w:left w:val="nil"/>
              <w:bottom w:val="single" w:sz="4" w:space="0" w:color="auto"/>
              <w:right w:val="single" w:sz="4" w:space="0" w:color="auto"/>
            </w:tcBorders>
            <w:shd w:val="clear" w:color="auto" w:fill="auto"/>
            <w:noWrap/>
            <w:vAlign w:val="center"/>
            <w:hideMark/>
          </w:tcPr>
          <w:p w14:paraId="3A88C3B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2BCA21C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047E62E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83.33%</w:t>
            </w:r>
          </w:p>
        </w:tc>
        <w:tc>
          <w:tcPr>
            <w:tcW w:w="843" w:type="dxa"/>
            <w:tcBorders>
              <w:top w:val="nil"/>
              <w:left w:val="nil"/>
              <w:bottom w:val="single" w:sz="4" w:space="0" w:color="auto"/>
              <w:right w:val="single" w:sz="4" w:space="0" w:color="auto"/>
            </w:tcBorders>
            <w:shd w:val="clear" w:color="auto" w:fill="auto"/>
            <w:noWrap/>
            <w:vAlign w:val="center"/>
            <w:hideMark/>
          </w:tcPr>
          <w:p w14:paraId="7FA5E83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71.43%</w:t>
            </w:r>
          </w:p>
        </w:tc>
        <w:tc>
          <w:tcPr>
            <w:tcW w:w="822" w:type="dxa"/>
            <w:tcBorders>
              <w:top w:val="nil"/>
              <w:left w:val="nil"/>
              <w:bottom w:val="single" w:sz="4" w:space="0" w:color="auto"/>
              <w:right w:val="single" w:sz="4" w:space="0" w:color="auto"/>
            </w:tcBorders>
            <w:shd w:val="clear" w:color="000000" w:fill="A9D08E"/>
            <w:noWrap/>
            <w:vAlign w:val="center"/>
            <w:hideMark/>
          </w:tcPr>
          <w:p w14:paraId="1AC9DF05"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51.52%</w:t>
            </w:r>
          </w:p>
        </w:tc>
      </w:tr>
      <w:tr w:rsidR="00C27366" w:rsidRPr="00075913" w14:paraId="608D9C94"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6454C8B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February 9, 2024</w:t>
            </w:r>
          </w:p>
        </w:tc>
        <w:tc>
          <w:tcPr>
            <w:tcW w:w="586" w:type="dxa"/>
            <w:tcBorders>
              <w:top w:val="nil"/>
              <w:left w:val="nil"/>
              <w:bottom w:val="single" w:sz="4" w:space="0" w:color="auto"/>
              <w:right w:val="single" w:sz="4" w:space="0" w:color="auto"/>
            </w:tcBorders>
            <w:shd w:val="clear" w:color="auto" w:fill="auto"/>
            <w:noWrap/>
            <w:vAlign w:val="center"/>
            <w:hideMark/>
          </w:tcPr>
          <w:p w14:paraId="23A49E2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w:t>
            </w:r>
          </w:p>
        </w:tc>
        <w:tc>
          <w:tcPr>
            <w:tcW w:w="795" w:type="dxa"/>
            <w:tcBorders>
              <w:top w:val="nil"/>
              <w:left w:val="nil"/>
              <w:bottom w:val="single" w:sz="4" w:space="0" w:color="auto"/>
              <w:right w:val="single" w:sz="4" w:space="0" w:color="auto"/>
            </w:tcBorders>
            <w:shd w:val="clear" w:color="auto" w:fill="auto"/>
            <w:noWrap/>
            <w:vAlign w:val="center"/>
            <w:hideMark/>
          </w:tcPr>
          <w:p w14:paraId="7D53DBD6"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28.57%</w:t>
            </w:r>
          </w:p>
        </w:tc>
        <w:tc>
          <w:tcPr>
            <w:tcW w:w="795" w:type="dxa"/>
            <w:tcBorders>
              <w:top w:val="nil"/>
              <w:left w:val="nil"/>
              <w:bottom w:val="single" w:sz="4" w:space="0" w:color="auto"/>
              <w:right w:val="single" w:sz="4" w:space="0" w:color="auto"/>
            </w:tcBorders>
            <w:shd w:val="clear" w:color="auto" w:fill="auto"/>
            <w:noWrap/>
            <w:vAlign w:val="center"/>
            <w:hideMark/>
          </w:tcPr>
          <w:p w14:paraId="15259E4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5F34BA5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04DC90B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1CA792E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63BC192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75.00%</w:t>
            </w:r>
          </w:p>
        </w:tc>
        <w:tc>
          <w:tcPr>
            <w:tcW w:w="843" w:type="dxa"/>
            <w:tcBorders>
              <w:top w:val="nil"/>
              <w:left w:val="nil"/>
              <w:bottom w:val="single" w:sz="4" w:space="0" w:color="auto"/>
              <w:right w:val="single" w:sz="4" w:space="0" w:color="auto"/>
            </w:tcBorders>
            <w:shd w:val="clear" w:color="auto" w:fill="auto"/>
            <w:noWrap/>
            <w:vAlign w:val="center"/>
            <w:hideMark/>
          </w:tcPr>
          <w:p w14:paraId="421F1BC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20.00%</w:t>
            </w:r>
          </w:p>
        </w:tc>
        <w:tc>
          <w:tcPr>
            <w:tcW w:w="843" w:type="dxa"/>
            <w:tcBorders>
              <w:top w:val="nil"/>
              <w:left w:val="nil"/>
              <w:bottom w:val="single" w:sz="4" w:space="0" w:color="auto"/>
              <w:right w:val="single" w:sz="4" w:space="0" w:color="auto"/>
            </w:tcBorders>
            <w:shd w:val="clear" w:color="auto" w:fill="auto"/>
            <w:noWrap/>
            <w:vAlign w:val="center"/>
            <w:hideMark/>
          </w:tcPr>
          <w:p w14:paraId="3E799D3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100.00%</w:t>
            </w:r>
          </w:p>
        </w:tc>
        <w:tc>
          <w:tcPr>
            <w:tcW w:w="843" w:type="dxa"/>
            <w:tcBorders>
              <w:top w:val="nil"/>
              <w:left w:val="nil"/>
              <w:bottom w:val="single" w:sz="4" w:space="0" w:color="auto"/>
              <w:right w:val="single" w:sz="4" w:space="0" w:color="auto"/>
            </w:tcBorders>
            <w:shd w:val="clear" w:color="auto" w:fill="auto"/>
            <w:noWrap/>
            <w:vAlign w:val="center"/>
            <w:hideMark/>
          </w:tcPr>
          <w:p w14:paraId="5A917E2E"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84.62%</w:t>
            </w:r>
          </w:p>
        </w:tc>
        <w:tc>
          <w:tcPr>
            <w:tcW w:w="843" w:type="dxa"/>
            <w:tcBorders>
              <w:top w:val="nil"/>
              <w:left w:val="nil"/>
              <w:bottom w:val="single" w:sz="4" w:space="0" w:color="auto"/>
              <w:right w:val="single" w:sz="4" w:space="0" w:color="auto"/>
            </w:tcBorders>
            <w:shd w:val="clear" w:color="auto" w:fill="auto"/>
            <w:noWrap/>
            <w:vAlign w:val="center"/>
            <w:hideMark/>
          </w:tcPr>
          <w:p w14:paraId="1AA288D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50.00%</w:t>
            </w:r>
          </w:p>
        </w:tc>
        <w:tc>
          <w:tcPr>
            <w:tcW w:w="843" w:type="dxa"/>
            <w:tcBorders>
              <w:top w:val="nil"/>
              <w:left w:val="nil"/>
              <w:bottom w:val="single" w:sz="4" w:space="0" w:color="auto"/>
              <w:right w:val="single" w:sz="4" w:space="0" w:color="auto"/>
            </w:tcBorders>
            <w:shd w:val="clear" w:color="auto" w:fill="auto"/>
            <w:noWrap/>
            <w:vAlign w:val="center"/>
            <w:hideMark/>
          </w:tcPr>
          <w:p w14:paraId="6867BF8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0.00%</w:t>
            </w:r>
          </w:p>
        </w:tc>
        <w:tc>
          <w:tcPr>
            <w:tcW w:w="843" w:type="dxa"/>
            <w:tcBorders>
              <w:top w:val="nil"/>
              <w:left w:val="nil"/>
              <w:bottom w:val="single" w:sz="4" w:space="0" w:color="auto"/>
              <w:right w:val="single" w:sz="4" w:space="0" w:color="auto"/>
            </w:tcBorders>
            <w:shd w:val="clear" w:color="auto" w:fill="auto"/>
            <w:noWrap/>
            <w:vAlign w:val="center"/>
            <w:hideMark/>
          </w:tcPr>
          <w:p w14:paraId="6F2B4C5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16.67%</w:t>
            </w:r>
          </w:p>
        </w:tc>
        <w:tc>
          <w:tcPr>
            <w:tcW w:w="843" w:type="dxa"/>
            <w:tcBorders>
              <w:top w:val="nil"/>
              <w:left w:val="nil"/>
              <w:bottom w:val="single" w:sz="4" w:space="0" w:color="auto"/>
              <w:right w:val="single" w:sz="4" w:space="0" w:color="auto"/>
            </w:tcBorders>
            <w:shd w:val="clear" w:color="auto" w:fill="auto"/>
            <w:noWrap/>
            <w:vAlign w:val="center"/>
            <w:hideMark/>
          </w:tcPr>
          <w:p w14:paraId="6B1CD5E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33.33%</w:t>
            </w:r>
          </w:p>
        </w:tc>
        <w:tc>
          <w:tcPr>
            <w:tcW w:w="843" w:type="dxa"/>
            <w:tcBorders>
              <w:top w:val="nil"/>
              <w:left w:val="nil"/>
              <w:bottom w:val="single" w:sz="4" w:space="0" w:color="auto"/>
              <w:right w:val="single" w:sz="4" w:space="0" w:color="auto"/>
            </w:tcBorders>
            <w:shd w:val="clear" w:color="auto" w:fill="auto"/>
            <w:noWrap/>
            <w:vAlign w:val="center"/>
            <w:hideMark/>
          </w:tcPr>
          <w:p w14:paraId="4C4734E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30.00%</w:t>
            </w:r>
          </w:p>
        </w:tc>
        <w:tc>
          <w:tcPr>
            <w:tcW w:w="822" w:type="dxa"/>
            <w:tcBorders>
              <w:top w:val="nil"/>
              <w:left w:val="nil"/>
              <w:bottom w:val="single" w:sz="4" w:space="0" w:color="auto"/>
              <w:right w:val="single" w:sz="4" w:space="0" w:color="auto"/>
            </w:tcBorders>
            <w:shd w:val="clear" w:color="000000" w:fill="A9D08E"/>
            <w:noWrap/>
            <w:vAlign w:val="center"/>
            <w:hideMark/>
          </w:tcPr>
          <w:p w14:paraId="62C5FD27"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48.48%</w:t>
            </w:r>
          </w:p>
        </w:tc>
      </w:tr>
      <w:tr w:rsidR="00C27366" w:rsidRPr="00075913" w14:paraId="4F148E4B"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33BCCAAF"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Friday, February 16, 2024</w:t>
            </w:r>
          </w:p>
        </w:tc>
        <w:tc>
          <w:tcPr>
            <w:tcW w:w="586" w:type="dxa"/>
            <w:tcBorders>
              <w:top w:val="nil"/>
              <w:left w:val="nil"/>
              <w:bottom w:val="single" w:sz="4" w:space="0" w:color="auto"/>
              <w:right w:val="single" w:sz="4" w:space="0" w:color="auto"/>
            </w:tcBorders>
            <w:shd w:val="clear" w:color="auto" w:fill="auto"/>
            <w:noWrap/>
            <w:vAlign w:val="center"/>
            <w:hideMark/>
          </w:tcPr>
          <w:p w14:paraId="6CB86B2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21</w:t>
            </w:r>
          </w:p>
        </w:tc>
        <w:tc>
          <w:tcPr>
            <w:tcW w:w="795" w:type="dxa"/>
            <w:tcBorders>
              <w:top w:val="nil"/>
              <w:left w:val="nil"/>
              <w:bottom w:val="single" w:sz="4" w:space="0" w:color="auto"/>
              <w:right w:val="single" w:sz="4" w:space="0" w:color="auto"/>
            </w:tcBorders>
            <w:shd w:val="clear" w:color="auto" w:fill="auto"/>
            <w:noWrap/>
            <w:vAlign w:val="center"/>
            <w:hideMark/>
          </w:tcPr>
          <w:p w14:paraId="79F366E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57%</w:t>
            </w:r>
          </w:p>
        </w:tc>
        <w:tc>
          <w:tcPr>
            <w:tcW w:w="795" w:type="dxa"/>
            <w:tcBorders>
              <w:top w:val="nil"/>
              <w:left w:val="nil"/>
              <w:bottom w:val="single" w:sz="4" w:space="0" w:color="auto"/>
              <w:right w:val="single" w:sz="4" w:space="0" w:color="auto"/>
            </w:tcBorders>
            <w:shd w:val="clear" w:color="auto" w:fill="auto"/>
            <w:noWrap/>
            <w:vAlign w:val="center"/>
            <w:hideMark/>
          </w:tcPr>
          <w:p w14:paraId="09BF5428"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83%</w:t>
            </w:r>
          </w:p>
        </w:tc>
        <w:tc>
          <w:tcPr>
            <w:tcW w:w="843" w:type="dxa"/>
            <w:tcBorders>
              <w:top w:val="nil"/>
              <w:left w:val="nil"/>
              <w:bottom w:val="single" w:sz="4" w:space="0" w:color="auto"/>
              <w:right w:val="single" w:sz="4" w:space="0" w:color="auto"/>
            </w:tcBorders>
            <w:shd w:val="clear" w:color="auto" w:fill="auto"/>
            <w:noWrap/>
            <w:vAlign w:val="center"/>
            <w:hideMark/>
          </w:tcPr>
          <w:p w14:paraId="0C0C4AD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4E9FD87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0%</w:t>
            </w:r>
          </w:p>
        </w:tc>
        <w:tc>
          <w:tcPr>
            <w:tcW w:w="843" w:type="dxa"/>
            <w:tcBorders>
              <w:top w:val="nil"/>
              <w:left w:val="nil"/>
              <w:bottom w:val="single" w:sz="4" w:space="0" w:color="auto"/>
              <w:right w:val="single" w:sz="4" w:space="0" w:color="auto"/>
            </w:tcBorders>
            <w:shd w:val="clear" w:color="auto" w:fill="auto"/>
            <w:noWrap/>
            <w:vAlign w:val="center"/>
            <w:hideMark/>
          </w:tcPr>
          <w:p w14:paraId="653F6C0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nan</w:t>
            </w:r>
          </w:p>
        </w:tc>
        <w:tc>
          <w:tcPr>
            <w:tcW w:w="843" w:type="dxa"/>
            <w:tcBorders>
              <w:top w:val="nil"/>
              <w:left w:val="nil"/>
              <w:bottom w:val="single" w:sz="4" w:space="0" w:color="auto"/>
              <w:right w:val="single" w:sz="4" w:space="0" w:color="auto"/>
            </w:tcBorders>
            <w:shd w:val="clear" w:color="auto" w:fill="auto"/>
            <w:noWrap/>
            <w:vAlign w:val="center"/>
            <w:hideMark/>
          </w:tcPr>
          <w:p w14:paraId="4D20F20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67%</w:t>
            </w:r>
          </w:p>
        </w:tc>
        <w:tc>
          <w:tcPr>
            <w:tcW w:w="843" w:type="dxa"/>
            <w:tcBorders>
              <w:top w:val="nil"/>
              <w:left w:val="nil"/>
              <w:bottom w:val="single" w:sz="4" w:space="0" w:color="auto"/>
              <w:right w:val="single" w:sz="4" w:space="0" w:color="auto"/>
            </w:tcBorders>
            <w:shd w:val="clear" w:color="auto" w:fill="auto"/>
            <w:noWrap/>
            <w:vAlign w:val="center"/>
            <w:hideMark/>
          </w:tcPr>
          <w:p w14:paraId="03F114E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25%</w:t>
            </w:r>
          </w:p>
        </w:tc>
        <w:tc>
          <w:tcPr>
            <w:tcW w:w="843" w:type="dxa"/>
            <w:tcBorders>
              <w:top w:val="nil"/>
              <w:left w:val="nil"/>
              <w:bottom w:val="single" w:sz="4" w:space="0" w:color="auto"/>
              <w:right w:val="single" w:sz="4" w:space="0" w:color="auto"/>
            </w:tcBorders>
            <w:shd w:val="clear" w:color="auto" w:fill="auto"/>
            <w:noWrap/>
            <w:vAlign w:val="center"/>
            <w:hideMark/>
          </w:tcPr>
          <w:p w14:paraId="52BC14D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1478996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71A10231"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11%</w:t>
            </w:r>
          </w:p>
        </w:tc>
        <w:tc>
          <w:tcPr>
            <w:tcW w:w="843" w:type="dxa"/>
            <w:tcBorders>
              <w:top w:val="nil"/>
              <w:left w:val="nil"/>
              <w:bottom w:val="single" w:sz="4" w:space="0" w:color="auto"/>
              <w:right w:val="single" w:sz="4" w:space="0" w:color="auto"/>
            </w:tcBorders>
            <w:shd w:val="clear" w:color="auto" w:fill="auto"/>
            <w:noWrap/>
            <w:vAlign w:val="center"/>
            <w:hideMark/>
          </w:tcPr>
          <w:p w14:paraId="48DDF77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100%</w:t>
            </w:r>
          </w:p>
        </w:tc>
        <w:tc>
          <w:tcPr>
            <w:tcW w:w="843" w:type="dxa"/>
            <w:tcBorders>
              <w:top w:val="nil"/>
              <w:left w:val="nil"/>
              <w:bottom w:val="single" w:sz="4" w:space="0" w:color="auto"/>
              <w:right w:val="single" w:sz="4" w:space="0" w:color="auto"/>
            </w:tcBorders>
            <w:shd w:val="clear" w:color="auto" w:fill="auto"/>
            <w:noWrap/>
            <w:vAlign w:val="center"/>
            <w:hideMark/>
          </w:tcPr>
          <w:p w14:paraId="066BEFE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80%</w:t>
            </w:r>
          </w:p>
        </w:tc>
        <w:tc>
          <w:tcPr>
            <w:tcW w:w="843" w:type="dxa"/>
            <w:tcBorders>
              <w:top w:val="nil"/>
              <w:left w:val="nil"/>
              <w:bottom w:val="single" w:sz="4" w:space="0" w:color="auto"/>
              <w:right w:val="single" w:sz="4" w:space="0" w:color="auto"/>
            </w:tcBorders>
            <w:shd w:val="clear" w:color="auto" w:fill="auto"/>
            <w:noWrap/>
            <w:vAlign w:val="center"/>
            <w:hideMark/>
          </w:tcPr>
          <w:p w14:paraId="75DEDF3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83%</w:t>
            </w:r>
          </w:p>
        </w:tc>
        <w:tc>
          <w:tcPr>
            <w:tcW w:w="843" w:type="dxa"/>
            <w:tcBorders>
              <w:top w:val="nil"/>
              <w:left w:val="nil"/>
              <w:bottom w:val="single" w:sz="4" w:space="0" w:color="auto"/>
              <w:right w:val="single" w:sz="4" w:space="0" w:color="auto"/>
            </w:tcBorders>
            <w:shd w:val="clear" w:color="auto" w:fill="auto"/>
            <w:noWrap/>
            <w:vAlign w:val="center"/>
            <w:hideMark/>
          </w:tcPr>
          <w:p w14:paraId="0226DFB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42.86%</w:t>
            </w:r>
          </w:p>
        </w:tc>
        <w:tc>
          <w:tcPr>
            <w:tcW w:w="822" w:type="dxa"/>
            <w:tcBorders>
              <w:top w:val="nil"/>
              <w:left w:val="nil"/>
              <w:bottom w:val="single" w:sz="4" w:space="0" w:color="auto"/>
              <w:right w:val="single" w:sz="4" w:space="0" w:color="auto"/>
            </w:tcBorders>
            <w:shd w:val="clear" w:color="000000" w:fill="A9D08E"/>
            <w:noWrap/>
            <w:vAlign w:val="center"/>
            <w:hideMark/>
          </w:tcPr>
          <w:p w14:paraId="2861E82B"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63.64%</w:t>
            </w:r>
          </w:p>
        </w:tc>
      </w:tr>
      <w:tr w:rsidR="00C27366" w:rsidRPr="00075913" w14:paraId="64F1AFED" w14:textId="77777777" w:rsidTr="00C27366">
        <w:trPr>
          <w:trHeight w:val="268"/>
        </w:trPr>
        <w:tc>
          <w:tcPr>
            <w:tcW w:w="2581" w:type="dxa"/>
            <w:tcBorders>
              <w:top w:val="nil"/>
              <w:left w:val="single" w:sz="4" w:space="0" w:color="auto"/>
              <w:bottom w:val="single" w:sz="4" w:space="0" w:color="auto"/>
              <w:right w:val="single" w:sz="4" w:space="0" w:color="auto"/>
            </w:tcBorders>
            <w:shd w:val="clear" w:color="auto" w:fill="auto"/>
            <w:noWrap/>
            <w:vAlign w:val="center"/>
            <w:hideMark/>
          </w:tcPr>
          <w:p w14:paraId="62A3A77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586" w:type="dxa"/>
            <w:tcBorders>
              <w:top w:val="nil"/>
              <w:left w:val="nil"/>
              <w:bottom w:val="single" w:sz="4" w:space="0" w:color="auto"/>
              <w:right w:val="single" w:sz="4" w:space="0" w:color="auto"/>
            </w:tcBorders>
            <w:shd w:val="clear" w:color="auto" w:fill="auto"/>
            <w:noWrap/>
            <w:vAlign w:val="center"/>
            <w:hideMark/>
          </w:tcPr>
          <w:p w14:paraId="3B5C605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795" w:type="dxa"/>
            <w:tcBorders>
              <w:top w:val="nil"/>
              <w:left w:val="nil"/>
              <w:bottom w:val="single" w:sz="4" w:space="0" w:color="auto"/>
              <w:right w:val="single" w:sz="4" w:space="0" w:color="auto"/>
            </w:tcBorders>
            <w:shd w:val="clear" w:color="auto" w:fill="auto"/>
            <w:noWrap/>
            <w:vAlign w:val="center"/>
            <w:hideMark/>
          </w:tcPr>
          <w:p w14:paraId="61E9AB59"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795" w:type="dxa"/>
            <w:tcBorders>
              <w:top w:val="nil"/>
              <w:left w:val="nil"/>
              <w:bottom w:val="single" w:sz="4" w:space="0" w:color="auto"/>
              <w:right w:val="single" w:sz="4" w:space="0" w:color="auto"/>
            </w:tcBorders>
            <w:shd w:val="clear" w:color="auto" w:fill="auto"/>
            <w:noWrap/>
            <w:vAlign w:val="center"/>
            <w:hideMark/>
          </w:tcPr>
          <w:p w14:paraId="5C5F4DD2"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4F395EF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66FDC063"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2FCA83D0"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072F80FB"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4473DC6C"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2BDC00C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32161767"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148C86BD"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6E19BC9A"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6C6545C5"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center"/>
            <w:hideMark/>
          </w:tcPr>
          <w:p w14:paraId="04329114" w14:textId="77777777" w:rsidR="00C27366" w:rsidRPr="00075913" w:rsidRDefault="00C27366" w:rsidP="00C27366">
            <w:pPr>
              <w:spacing w:after="0" w:line="240" w:lineRule="auto"/>
              <w:jc w:val="center"/>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43" w:type="dxa"/>
            <w:tcBorders>
              <w:top w:val="nil"/>
              <w:left w:val="nil"/>
              <w:bottom w:val="single" w:sz="4" w:space="0" w:color="auto"/>
              <w:right w:val="single" w:sz="4" w:space="0" w:color="auto"/>
            </w:tcBorders>
            <w:shd w:val="clear" w:color="auto" w:fill="auto"/>
            <w:noWrap/>
            <w:vAlign w:val="bottom"/>
            <w:hideMark/>
          </w:tcPr>
          <w:p w14:paraId="22F45F25" w14:textId="77777777" w:rsidR="00C27366" w:rsidRPr="00075913" w:rsidRDefault="00C27366" w:rsidP="00C27366">
            <w:pPr>
              <w:spacing w:after="0" w:line="240" w:lineRule="auto"/>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c>
          <w:tcPr>
            <w:tcW w:w="822" w:type="dxa"/>
            <w:tcBorders>
              <w:top w:val="nil"/>
              <w:left w:val="nil"/>
              <w:bottom w:val="single" w:sz="4" w:space="0" w:color="auto"/>
              <w:right w:val="single" w:sz="4" w:space="0" w:color="auto"/>
            </w:tcBorders>
            <w:shd w:val="clear" w:color="auto" w:fill="auto"/>
            <w:noWrap/>
            <w:vAlign w:val="bottom"/>
            <w:hideMark/>
          </w:tcPr>
          <w:p w14:paraId="13F2CEBC" w14:textId="77777777" w:rsidR="00C27366" w:rsidRPr="00075913" w:rsidRDefault="00C27366" w:rsidP="00C27366">
            <w:pPr>
              <w:spacing w:after="0" w:line="240" w:lineRule="auto"/>
              <w:rPr>
                <w:rFonts w:ascii="Century Schoolbook" w:eastAsia="Times New Roman" w:hAnsi="Century Schoolbook" w:cs="Calibri"/>
                <w:color w:val="000000"/>
                <w:kern w:val="0"/>
                <w:sz w:val="16"/>
                <w:szCs w:val="16"/>
                <w14:ligatures w14:val="none"/>
              </w:rPr>
            </w:pPr>
            <w:r w:rsidRPr="00075913">
              <w:rPr>
                <w:rFonts w:ascii="Century Schoolbook" w:eastAsia="Times New Roman" w:hAnsi="Century Schoolbook" w:cs="Calibri"/>
                <w:color w:val="000000"/>
                <w:kern w:val="0"/>
                <w:sz w:val="16"/>
                <w:szCs w:val="16"/>
                <w14:ligatures w14:val="none"/>
              </w:rPr>
              <w:t> </w:t>
            </w:r>
          </w:p>
        </w:tc>
      </w:tr>
      <w:tr w:rsidR="00C27366" w:rsidRPr="00075913" w14:paraId="42C5D3BD" w14:textId="77777777" w:rsidTr="00C27366">
        <w:trPr>
          <w:trHeight w:val="290"/>
        </w:trPr>
        <w:tc>
          <w:tcPr>
            <w:tcW w:w="2581" w:type="dxa"/>
            <w:tcBorders>
              <w:top w:val="nil"/>
              <w:left w:val="single" w:sz="4" w:space="0" w:color="auto"/>
              <w:bottom w:val="single" w:sz="4" w:space="0" w:color="auto"/>
              <w:right w:val="single" w:sz="4" w:space="0" w:color="auto"/>
            </w:tcBorders>
            <w:shd w:val="clear" w:color="000000" w:fill="A9D08E"/>
            <w:noWrap/>
            <w:vAlign w:val="center"/>
            <w:hideMark/>
          </w:tcPr>
          <w:p w14:paraId="26F708B1"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Average</w:t>
            </w:r>
          </w:p>
        </w:tc>
        <w:tc>
          <w:tcPr>
            <w:tcW w:w="586" w:type="dxa"/>
            <w:tcBorders>
              <w:top w:val="nil"/>
              <w:left w:val="nil"/>
              <w:bottom w:val="single" w:sz="4" w:space="0" w:color="auto"/>
              <w:right w:val="single" w:sz="4" w:space="0" w:color="auto"/>
            </w:tcBorders>
            <w:shd w:val="clear" w:color="000000" w:fill="A9D08E"/>
            <w:noWrap/>
            <w:vAlign w:val="center"/>
            <w:hideMark/>
          </w:tcPr>
          <w:p w14:paraId="6E152FDC"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YTD</w:t>
            </w:r>
          </w:p>
        </w:tc>
        <w:tc>
          <w:tcPr>
            <w:tcW w:w="795" w:type="dxa"/>
            <w:tcBorders>
              <w:top w:val="nil"/>
              <w:left w:val="nil"/>
              <w:bottom w:val="single" w:sz="4" w:space="0" w:color="auto"/>
              <w:right w:val="single" w:sz="4" w:space="0" w:color="auto"/>
            </w:tcBorders>
            <w:shd w:val="clear" w:color="000000" w:fill="A9D08E"/>
            <w:noWrap/>
            <w:vAlign w:val="center"/>
            <w:hideMark/>
          </w:tcPr>
          <w:p w14:paraId="3DDA08A7"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56.84%</w:t>
            </w:r>
          </w:p>
        </w:tc>
        <w:tc>
          <w:tcPr>
            <w:tcW w:w="795" w:type="dxa"/>
            <w:tcBorders>
              <w:top w:val="nil"/>
              <w:left w:val="nil"/>
              <w:bottom w:val="single" w:sz="4" w:space="0" w:color="auto"/>
              <w:right w:val="single" w:sz="4" w:space="0" w:color="auto"/>
            </w:tcBorders>
            <w:shd w:val="clear" w:color="000000" w:fill="A9D08E"/>
            <w:noWrap/>
            <w:vAlign w:val="center"/>
            <w:hideMark/>
          </w:tcPr>
          <w:p w14:paraId="708AC0B6"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52.25%</w:t>
            </w:r>
          </w:p>
        </w:tc>
        <w:tc>
          <w:tcPr>
            <w:tcW w:w="843" w:type="dxa"/>
            <w:tcBorders>
              <w:top w:val="nil"/>
              <w:left w:val="nil"/>
              <w:bottom w:val="single" w:sz="4" w:space="0" w:color="auto"/>
              <w:right w:val="single" w:sz="4" w:space="0" w:color="auto"/>
            </w:tcBorders>
            <w:shd w:val="clear" w:color="000000" w:fill="A9D08E"/>
            <w:noWrap/>
            <w:vAlign w:val="center"/>
            <w:hideMark/>
          </w:tcPr>
          <w:p w14:paraId="1610025A"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56.84%</w:t>
            </w:r>
          </w:p>
        </w:tc>
        <w:tc>
          <w:tcPr>
            <w:tcW w:w="843" w:type="dxa"/>
            <w:tcBorders>
              <w:top w:val="nil"/>
              <w:left w:val="nil"/>
              <w:bottom w:val="single" w:sz="4" w:space="0" w:color="auto"/>
              <w:right w:val="single" w:sz="4" w:space="0" w:color="auto"/>
            </w:tcBorders>
            <w:shd w:val="clear" w:color="000000" w:fill="A9D08E"/>
            <w:noWrap/>
            <w:vAlign w:val="center"/>
            <w:hideMark/>
          </w:tcPr>
          <w:p w14:paraId="7F36F076"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55.18%</w:t>
            </w:r>
          </w:p>
        </w:tc>
        <w:tc>
          <w:tcPr>
            <w:tcW w:w="843" w:type="dxa"/>
            <w:tcBorders>
              <w:top w:val="nil"/>
              <w:left w:val="nil"/>
              <w:bottom w:val="single" w:sz="4" w:space="0" w:color="auto"/>
              <w:right w:val="single" w:sz="4" w:space="0" w:color="auto"/>
            </w:tcBorders>
            <w:shd w:val="clear" w:color="000000" w:fill="A9D08E"/>
            <w:noWrap/>
            <w:vAlign w:val="center"/>
            <w:hideMark/>
          </w:tcPr>
          <w:p w14:paraId="79B3E0CA"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59.35%</w:t>
            </w:r>
          </w:p>
        </w:tc>
        <w:tc>
          <w:tcPr>
            <w:tcW w:w="843" w:type="dxa"/>
            <w:tcBorders>
              <w:top w:val="nil"/>
              <w:left w:val="nil"/>
              <w:bottom w:val="single" w:sz="4" w:space="0" w:color="auto"/>
              <w:right w:val="single" w:sz="4" w:space="0" w:color="auto"/>
            </w:tcBorders>
            <w:shd w:val="clear" w:color="000000" w:fill="A9D08E"/>
            <w:noWrap/>
            <w:vAlign w:val="center"/>
            <w:hideMark/>
          </w:tcPr>
          <w:p w14:paraId="04C3A464"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41.67%</w:t>
            </w:r>
          </w:p>
        </w:tc>
        <w:tc>
          <w:tcPr>
            <w:tcW w:w="843" w:type="dxa"/>
            <w:tcBorders>
              <w:top w:val="nil"/>
              <w:left w:val="nil"/>
              <w:bottom w:val="single" w:sz="4" w:space="0" w:color="auto"/>
              <w:right w:val="single" w:sz="4" w:space="0" w:color="auto"/>
            </w:tcBorders>
            <w:shd w:val="clear" w:color="000000" w:fill="A9D08E"/>
            <w:noWrap/>
            <w:vAlign w:val="center"/>
            <w:hideMark/>
          </w:tcPr>
          <w:p w14:paraId="60863F4E"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56.49%</w:t>
            </w:r>
          </w:p>
        </w:tc>
        <w:tc>
          <w:tcPr>
            <w:tcW w:w="843" w:type="dxa"/>
            <w:tcBorders>
              <w:top w:val="nil"/>
              <w:left w:val="nil"/>
              <w:bottom w:val="single" w:sz="4" w:space="0" w:color="auto"/>
              <w:right w:val="single" w:sz="4" w:space="0" w:color="auto"/>
            </w:tcBorders>
            <w:shd w:val="clear" w:color="000000" w:fill="A9D08E"/>
            <w:noWrap/>
            <w:vAlign w:val="center"/>
            <w:hideMark/>
          </w:tcPr>
          <w:p w14:paraId="19378F45"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62.11%</w:t>
            </w:r>
          </w:p>
        </w:tc>
        <w:tc>
          <w:tcPr>
            <w:tcW w:w="843" w:type="dxa"/>
            <w:tcBorders>
              <w:top w:val="nil"/>
              <w:left w:val="nil"/>
              <w:bottom w:val="single" w:sz="4" w:space="0" w:color="auto"/>
              <w:right w:val="single" w:sz="4" w:space="0" w:color="auto"/>
            </w:tcBorders>
            <w:shd w:val="clear" w:color="000000" w:fill="A9D08E"/>
            <w:noWrap/>
            <w:vAlign w:val="center"/>
            <w:hideMark/>
          </w:tcPr>
          <w:p w14:paraId="03800E2E"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46.65%</w:t>
            </w:r>
          </w:p>
        </w:tc>
        <w:tc>
          <w:tcPr>
            <w:tcW w:w="843" w:type="dxa"/>
            <w:tcBorders>
              <w:top w:val="nil"/>
              <w:left w:val="nil"/>
              <w:bottom w:val="single" w:sz="4" w:space="0" w:color="auto"/>
              <w:right w:val="single" w:sz="4" w:space="0" w:color="auto"/>
            </w:tcBorders>
            <w:shd w:val="clear" w:color="000000" w:fill="A9D08E"/>
            <w:noWrap/>
            <w:vAlign w:val="center"/>
            <w:hideMark/>
          </w:tcPr>
          <w:p w14:paraId="62ACB275"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53.15%</w:t>
            </w:r>
          </w:p>
        </w:tc>
        <w:tc>
          <w:tcPr>
            <w:tcW w:w="843" w:type="dxa"/>
            <w:tcBorders>
              <w:top w:val="nil"/>
              <w:left w:val="nil"/>
              <w:bottom w:val="single" w:sz="4" w:space="0" w:color="auto"/>
              <w:right w:val="single" w:sz="4" w:space="0" w:color="auto"/>
            </w:tcBorders>
            <w:shd w:val="clear" w:color="000000" w:fill="A9D08E"/>
            <w:noWrap/>
            <w:vAlign w:val="center"/>
            <w:hideMark/>
          </w:tcPr>
          <w:p w14:paraId="164711BE"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58.25%</w:t>
            </w:r>
          </w:p>
        </w:tc>
        <w:tc>
          <w:tcPr>
            <w:tcW w:w="843" w:type="dxa"/>
            <w:tcBorders>
              <w:top w:val="nil"/>
              <w:left w:val="nil"/>
              <w:bottom w:val="single" w:sz="4" w:space="0" w:color="auto"/>
              <w:right w:val="single" w:sz="4" w:space="0" w:color="auto"/>
            </w:tcBorders>
            <w:shd w:val="clear" w:color="000000" w:fill="A9D08E"/>
            <w:noWrap/>
            <w:vAlign w:val="center"/>
            <w:hideMark/>
          </w:tcPr>
          <w:p w14:paraId="3F805454"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45.00%</w:t>
            </w:r>
          </w:p>
        </w:tc>
        <w:tc>
          <w:tcPr>
            <w:tcW w:w="843" w:type="dxa"/>
            <w:tcBorders>
              <w:top w:val="nil"/>
              <w:left w:val="nil"/>
              <w:bottom w:val="single" w:sz="4" w:space="0" w:color="auto"/>
              <w:right w:val="single" w:sz="4" w:space="0" w:color="auto"/>
            </w:tcBorders>
            <w:shd w:val="clear" w:color="000000" w:fill="A9D08E"/>
            <w:noWrap/>
            <w:vAlign w:val="center"/>
            <w:hideMark/>
          </w:tcPr>
          <w:p w14:paraId="392FFE19"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55.60%</w:t>
            </w:r>
          </w:p>
        </w:tc>
        <w:tc>
          <w:tcPr>
            <w:tcW w:w="843" w:type="dxa"/>
            <w:tcBorders>
              <w:top w:val="nil"/>
              <w:left w:val="nil"/>
              <w:bottom w:val="single" w:sz="4" w:space="0" w:color="auto"/>
              <w:right w:val="single" w:sz="4" w:space="0" w:color="auto"/>
            </w:tcBorders>
            <w:shd w:val="clear" w:color="000000" w:fill="A9D08E"/>
            <w:noWrap/>
            <w:vAlign w:val="center"/>
            <w:hideMark/>
          </w:tcPr>
          <w:p w14:paraId="0133C7EC"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50.79%</w:t>
            </w:r>
          </w:p>
        </w:tc>
        <w:tc>
          <w:tcPr>
            <w:tcW w:w="822" w:type="dxa"/>
            <w:tcBorders>
              <w:top w:val="nil"/>
              <w:left w:val="nil"/>
              <w:bottom w:val="single" w:sz="4" w:space="0" w:color="auto"/>
              <w:right w:val="single" w:sz="4" w:space="0" w:color="auto"/>
            </w:tcBorders>
            <w:shd w:val="clear" w:color="000000" w:fill="A9D08E"/>
            <w:noWrap/>
            <w:vAlign w:val="center"/>
            <w:hideMark/>
          </w:tcPr>
          <w:p w14:paraId="3A895D1C" w14:textId="77777777" w:rsidR="00C27366" w:rsidRPr="00075913" w:rsidRDefault="00C27366" w:rsidP="00C27366">
            <w:pPr>
              <w:spacing w:after="0" w:line="240" w:lineRule="auto"/>
              <w:jc w:val="center"/>
              <w:rPr>
                <w:rFonts w:ascii="Century Schoolbook" w:eastAsia="Times New Roman" w:hAnsi="Century Schoolbook" w:cs="Calibri"/>
                <w:b/>
                <w:bCs/>
                <w:color w:val="000000"/>
                <w:kern w:val="0"/>
                <w:sz w:val="16"/>
                <w:szCs w:val="16"/>
                <w14:ligatures w14:val="none"/>
              </w:rPr>
            </w:pPr>
            <w:r w:rsidRPr="00075913">
              <w:rPr>
                <w:rFonts w:ascii="Century Schoolbook" w:eastAsia="Times New Roman" w:hAnsi="Century Schoolbook" w:cs="Calibri"/>
                <w:b/>
                <w:bCs/>
                <w:color w:val="000000"/>
                <w:kern w:val="0"/>
                <w:sz w:val="16"/>
                <w:szCs w:val="16"/>
                <w14:ligatures w14:val="none"/>
              </w:rPr>
              <w:t>54.55%</w:t>
            </w:r>
          </w:p>
        </w:tc>
      </w:tr>
    </w:tbl>
    <w:p w14:paraId="7CFCA5D1" w14:textId="0803E138" w:rsidR="00C27366" w:rsidRPr="00075913" w:rsidRDefault="00C27366" w:rsidP="00075913">
      <w:pPr>
        <w:jc w:val="both"/>
        <w:rPr>
          <w:rFonts w:ascii="Century Schoolbook" w:hAnsi="Century Schoolbook" w:cstheme="minorHAnsi"/>
          <w:sz w:val="16"/>
          <w:szCs w:val="16"/>
        </w:rPr>
      </w:pPr>
      <w:r w:rsidRPr="00075913">
        <w:rPr>
          <w:rFonts w:ascii="Century Schoolbook" w:hAnsi="Century Schoolbook" w:cstheme="minorHAnsi"/>
          <w:sz w:val="16"/>
          <w:szCs w:val="16"/>
        </w:rPr>
        <w:fldChar w:fldCharType="end"/>
      </w:r>
      <w:r w:rsidRPr="00075913">
        <w:rPr>
          <w:rFonts w:ascii="Century Schoolbook" w:hAnsi="Century Schoolbook" w:cstheme="minorHAnsi"/>
          <w:sz w:val="16"/>
          <w:szCs w:val="16"/>
        </w:rPr>
        <w:t xml:space="preserve">With an impressive track record on February 16, 2024, boasting accuracies like 100% in Currency and 83.33% in Crypto predictions, navigates the markets with precision. Even in the face of challenges, as seen with Fixed Income, the commitment to insightful predictions remains unwavering. </w:t>
      </w:r>
    </w:p>
    <w:p w14:paraId="01F497FE" w14:textId="4A42BA94" w:rsidR="00EA107B" w:rsidRPr="00075913" w:rsidRDefault="00EA107B" w:rsidP="00BA370B">
      <w:pPr>
        <w:spacing w:line="240" w:lineRule="auto"/>
        <w:jc w:val="both"/>
        <w:rPr>
          <w:rFonts w:ascii="Century Schoolbook" w:hAnsi="Century Schoolbook" w:cstheme="minorHAnsi"/>
          <w:b/>
          <w:bCs/>
          <w:sz w:val="16"/>
          <w:szCs w:val="16"/>
        </w:rPr>
      </w:pPr>
      <w:r w:rsidRPr="00075913">
        <w:rPr>
          <w:rFonts w:ascii="Century Schoolbook" w:hAnsi="Century Schoolbook" w:cstheme="minorHAnsi"/>
          <w:b/>
          <w:bCs/>
          <w:i/>
          <w:iCs/>
          <w:sz w:val="16"/>
          <w:szCs w:val="16"/>
        </w:rPr>
        <w:t>Conclusion:</w:t>
      </w:r>
      <w:r w:rsidRPr="00075913">
        <w:rPr>
          <w:rFonts w:ascii="Century Schoolbook" w:hAnsi="Century Schoolbook" w:cstheme="minorHAnsi"/>
          <w:b/>
          <w:bCs/>
          <w:sz w:val="16"/>
          <w:szCs w:val="16"/>
        </w:rPr>
        <w:t xml:space="preserve"> Understanding the accuracy of trading predictions is crucial for refining strategies and optimizing decision-making. The analysis provides valuable insights, guiding traders towards areas of improvement and opportunities for refinement in their forecasting approaches.</w:t>
      </w:r>
    </w:p>
    <w:p w14:paraId="3638D2F2" w14:textId="2E8CAD64" w:rsidR="00E55D07" w:rsidRPr="00075913" w:rsidRDefault="009B3008" w:rsidP="00BA370B">
      <w:pPr>
        <w:spacing w:line="240" w:lineRule="auto"/>
        <w:jc w:val="both"/>
        <w:rPr>
          <w:rFonts w:ascii="Century Schoolbook" w:hAnsi="Century Schoolbook" w:cstheme="minorHAnsi"/>
          <w:sz w:val="16"/>
          <w:szCs w:val="16"/>
        </w:rPr>
      </w:pPr>
      <w:r w:rsidRPr="00075913">
        <w:rPr>
          <w:rFonts w:ascii="Century Schoolbook" w:hAnsi="Century Schoolbook" w:cstheme="minorHAnsi"/>
          <w:i/>
          <w:iCs/>
          <w:sz w:val="16"/>
          <w:szCs w:val="16"/>
        </w:rPr>
        <w:t>Note: The presented percentages represent the correctness of predictions in each trading direction for the specified date and week. It's essential to note that all forecasts are based on trading signals initiated from the closing time on Friday, closely aligning with the subsequent net Friday's closing time of the New York Stock Exchange. This timeframe provides a comprehensive perspective for evaluating the accuracy of predictions and aligning with the weekly trading cycle.</w:t>
      </w:r>
      <w:r w:rsidR="00000000" w:rsidRPr="00075913">
        <w:rPr>
          <w:rFonts w:ascii="Century Schoolbook" w:hAnsi="Century Schoolbook" w:cstheme="minorHAnsi"/>
          <w:sz w:val="16"/>
          <w:szCs w:val="16"/>
        </w:rPr>
        <w:pict w14:anchorId="74FC421F">
          <v:rect id="_x0000_i1025" style="width:0;height:0" o:hralign="center" o:hrstd="t" o:hr="t" fillcolor="#a0a0a0" stroked="f"/>
        </w:pict>
      </w:r>
      <w:r w:rsidR="00A04198" w:rsidRPr="00075913">
        <w:rPr>
          <w:rFonts w:ascii="Century Schoolbook" w:hAnsi="Century Schoolbook" w:cstheme="minorHAnsi"/>
          <w:b/>
          <w:bCs/>
          <w:i/>
          <w:iCs/>
          <w:sz w:val="16"/>
          <w:szCs w:val="16"/>
          <w:u w:val="single"/>
        </w:rPr>
        <w:t>Disclaimer:</w:t>
      </w:r>
      <w:r w:rsidR="00A04198" w:rsidRPr="00075913">
        <w:rPr>
          <w:rFonts w:ascii="Century Schoolbook" w:hAnsi="Century Schoolbook" w:cstheme="minorHAnsi"/>
          <w:i/>
          <w:iCs/>
          <w:sz w:val="16"/>
          <w:szCs w:val="16"/>
        </w:rPr>
        <w:t xml:space="preserve"> Trading involves risks, and past performance does not guarantee future results. This analysis is for informational purposes only and should not be considered financial advice.</w:t>
      </w:r>
    </w:p>
    <w:sectPr w:rsidR="00E55D07" w:rsidRPr="00075913" w:rsidSect="001F7D93">
      <w:pgSz w:w="16834" w:h="11909" w:orient="landscape" w:code="9"/>
      <w:pgMar w:top="720" w:right="720" w:bottom="27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A1E07"/>
    <w:multiLevelType w:val="multilevel"/>
    <w:tmpl w:val="5DD42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D565A0"/>
    <w:multiLevelType w:val="multilevel"/>
    <w:tmpl w:val="CDBADA3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E933AA"/>
    <w:multiLevelType w:val="multilevel"/>
    <w:tmpl w:val="5CA8F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98073C"/>
    <w:multiLevelType w:val="multilevel"/>
    <w:tmpl w:val="6412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2D318AE"/>
    <w:multiLevelType w:val="multilevel"/>
    <w:tmpl w:val="F40E550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9C9067C"/>
    <w:multiLevelType w:val="multilevel"/>
    <w:tmpl w:val="C25E0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98546502">
    <w:abstractNumId w:val="1"/>
  </w:num>
  <w:num w:numId="2" w16cid:durableId="1206484216">
    <w:abstractNumId w:val="5"/>
  </w:num>
  <w:num w:numId="3" w16cid:durableId="234517292">
    <w:abstractNumId w:val="2"/>
  </w:num>
  <w:num w:numId="4" w16cid:durableId="838079115">
    <w:abstractNumId w:val="4"/>
  </w:num>
  <w:num w:numId="5" w16cid:durableId="145634583">
    <w:abstractNumId w:val="3"/>
  </w:num>
  <w:num w:numId="6" w16cid:durableId="1483934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E35"/>
    <w:rsid w:val="00075913"/>
    <w:rsid w:val="001F7D93"/>
    <w:rsid w:val="002247F6"/>
    <w:rsid w:val="00235BCE"/>
    <w:rsid w:val="002E1C4F"/>
    <w:rsid w:val="00352F93"/>
    <w:rsid w:val="00386A68"/>
    <w:rsid w:val="003F23FC"/>
    <w:rsid w:val="00465572"/>
    <w:rsid w:val="00593E83"/>
    <w:rsid w:val="00670852"/>
    <w:rsid w:val="0079484A"/>
    <w:rsid w:val="00882E35"/>
    <w:rsid w:val="00896373"/>
    <w:rsid w:val="00996BD9"/>
    <w:rsid w:val="009B3008"/>
    <w:rsid w:val="00A04198"/>
    <w:rsid w:val="00AE4683"/>
    <w:rsid w:val="00B7633A"/>
    <w:rsid w:val="00BA370B"/>
    <w:rsid w:val="00C27366"/>
    <w:rsid w:val="00C51551"/>
    <w:rsid w:val="00E55D07"/>
    <w:rsid w:val="00EA107B"/>
    <w:rsid w:val="00ED3F32"/>
    <w:rsid w:val="00F21001"/>
    <w:rsid w:val="00FB6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4A1CF"/>
  <w15:chartTrackingRefBased/>
  <w15:docId w15:val="{78D005F1-2079-4426-98E7-4C5F52DBC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05840">
      <w:bodyDiv w:val="1"/>
      <w:marLeft w:val="0"/>
      <w:marRight w:val="0"/>
      <w:marTop w:val="0"/>
      <w:marBottom w:val="0"/>
      <w:divBdr>
        <w:top w:val="none" w:sz="0" w:space="0" w:color="auto"/>
        <w:left w:val="none" w:sz="0" w:space="0" w:color="auto"/>
        <w:bottom w:val="none" w:sz="0" w:space="0" w:color="auto"/>
        <w:right w:val="none" w:sz="0" w:space="0" w:color="auto"/>
      </w:divBdr>
    </w:div>
    <w:div w:id="204485456">
      <w:bodyDiv w:val="1"/>
      <w:marLeft w:val="0"/>
      <w:marRight w:val="0"/>
      <w:marTop w:val="0"/>
      <w:marBottom w:val="0"/>
      <w:divBdr>
        <w:top w:val="none" w:sz="0" w:space="0" w:color="auto"/>
        <w:left w:val="none" w:sz="0" w:space="0" w:color="auto"/>
        <w:bottom w:val="none" w:sz="0" w:space="0" w:color="auto"/>
        <w:right w:val="none" w:sz="0" w:space="0" w:color="auto"/>
      </w:divBdr>
    </w:div>
    <w:div w:id="340741056">
      <w:bodyDiv w:val="1"/>
      <w:marLeft w:val="0"/>
      <w:marRight w:val="0"/>
      <w:marTop w:val="0"/>
      <w:marBottom w:val="0"/>
      <w:divBdr>
        <w:top w:val="none" w:sz="0" w:space="0" w:color="auto"/>
        <w:left w:val="none" w:sz="0" w:space="0" w:color="auto"/>
        <w:bottom w:val="none" w:sz="0" w:space="0" w:color="auto"/>
        <w:right w:val="none" w:sz="0" w:space="0" w:color="auto"/>
      </w:divBdr>
    </w:div>
    <w:div w:id="443767671">
      <w:bodyDiv w:val="1"/>
      <w:marLeft w:val="0"/>
      <w:marRight w:val="0"/>
      <w:marTop w:val="0"/>
      <w:marBottom w:val="0"/>
      <w:divBdr>
        <w:top w:val="none" w:sz="0" w:space="0" w:color="auto"/>
        <w:left w:val="none" w:sz="0" w:space="0" w:color="auto"/>
        <w:bottom w:val="none" w:sz="0" w:space="0" w:color="auto"/>
        <w:right w:val="none" w:sz="0" w:space="0" w:color="auto"/>
      </w:divBdr>
    </w:div>
    <w:div w:id="796023578">
      <w:bodyDiv w:val="1"/>
      <w:marLeft w:val="0"/>
      <w:marRight w:val="0"/>
      <w:marTop w:val="0"/>
      <w:marBottom w:val="0"/>
      <w:divBdr>
        <w:top w:val="none" w:sz="0" w:space="0" w:color="auto"/>
        <w:left w:val="none" w:sz="0" w:space="0" w:color="auto"/>
        <w:bottom w:val="none" w:sz="0" w:space="0" w:color="auto"/>
        <w:right w:val="none" w:sz="0" w:space="0" w:color="auto"/>
      </w:divBdr>
    </w:div>
    <w:div w:id="1012104393">
      <w:bodyDiv w:val="1"/>
      <w:marLeft w:val="0"/>
      <w:marRight w:val="0"/>
      <w:marTop w:val="0"/>
      <w:marBottom w:val="0"/>
      <w:divBdr>
        <w:top w:val="none" w:sz="0" w:space="0" w:color="auto"/>
        <w:left w:val="none" w:sz="0" w:space="0" w:color="auto"/>
        <w:bottom w:val="none" w:sz="0" w:space="0" w:color="auto"/>
        <w:right w:val="none" w:sz="0" w:space="0" w:color="auto"/>
      </w:divBdr>
    </w:div>
    <w:div w:id="1049190282">
      <w:bodyDiv w:val="1"/>
      <w:marLeft w:val="0"/>
      <w:marRight w:val="0"/>
      <w:marTop w:val="0"/>
      <w:marBottom w:val="0"/>
      <w:divBdr>
        <w:top w:val="none" w:sz="0" w:space="0" w:color="auto"/>
        <w:left w:val="none" w:sz="0" w:space="0" w:color="auto"/>
        <w:bottom w:val="none" w:sz="0" w:space="0" w:color="auto"/>
        <w:right w:val="none" w:sz="0" w:space="0" w:color="auto"/>
      </w:divBdr>
    </w:div>
    <w:div w:id="1049768877">
      <w:bodyDiv w:val="1"/>
      <w:marLeft w:val="0"/>
      <w:marRight w:val="0"/>
      <w:marTop w:val="0"/>
      <w:marBottom w:val="0"/>
      <w:divBdr>
        <w:top w:val="none" w:sz="0" w:space="0" w:color="auto"/>
        <w:left w:val="none" w:sz="0" w:space="0" w:color="auto"/>
        <w:bottom w:val="none" w:sz="0" w:space="0" w:color="auto"/>
        <w:right w:val="none" w:sz="0" w:space="0" w:color="auto"/>
      </w:divBdr>
    </w:div>
    <w:div w:id="1098908707">
      <w:bodyDiv w:val="1"/>
      <w:marLeft w:val="0"/>
      <w:marRight w:val="0"/>
      <w:marTop w:val="0"/>
      <w:marBottom w:val="0"/>
      <w:divBdr>
        <w:top w:val="none" w:sz="0" w:space="0" w:color="auto"/>
        <w:left w:val="none" w:sz="0" w:space="0" w:color="auto"/>
        <w:bottom w:val="none" w:sz="0" w:space="0" w:color="auto"/>
        <w:right w:val="none" w:sz="0" w:space="0" w:color="auto"/>
      </w:divBdr>
    </w:div>
    <w:div w:id="1107652498">
      <w:bodyDiv w:val="1"/>
      <w:marLeft w:val="0"/>
      <w:marRight w:val="0"/>
      <w:marTop w:val="0"/>
      <w:marBottom w:val="0"/>
      <w:divBdr>
        <w:top w:val="none" w:sz="0" w:space="0" w:color="auto"/>
        <w:left w:val="none" w:sz="0" w:space="0" w:color="auto"/>
        <w:bottom w:val="none" w:sz="0" w:space="0" w:color="auto"/>
        <w:right w:val="none" w:sz="0" w:space="0" w:color="auto"/>
      </w:divBdr>
    </w:div>
    <w:div w:id="1191528331">
      <w:bodyDiv w:val="1"/>
      <w:marLeft w:val="0"/>
      <w:marRight w:val="0"/>
      <w:marTop w:val="0"/>
      <w:marBottom w:val="0"/>
      <w:divBdr>
        <w:top w:val="none" w:sz="0" w:space="0" w:color="auto"/>
        <w:left w:val="none" w:sz="0" w:space="0" w:color="auto"/>
        <w:bottom w:val="none" w:sz="0" w:space="0" w:color="auto"/>
        <w:right w:val="none" w:sz="0" w:space="0" w:color="auto"/>
      </w:divBdr>
    </w:div>
    <w:div w:id="1267034308">
      <w:bodyDiv w:val="1"/>
      <w:marLeft w:val="0"/>
      <w:marRight w:val="0"/>
      <w:marTop w:val="0"/>
      <w:marBottom w:val="0"/>
      <w:divBdr>
        <w:top w:val="none" w:sz="0" w:space="0" w:color="auto"/>
        <w:left w:val="none" w:sz="0" w:space="0" w:color="auto"/>
        <w:bottom w:val="none" w:sz="0" w:space="0" w:color="auto"/>
        <w:right w:val="none" w:sz="0" w:space="0" w:color="auto"/>
      </w:divBdr>
    </w:div>
    <w:div w:id="1357393027">
      <w:bodyDiv w:val="1"/>
      <w:marLeft w:val="0"/>
      <w:marRight w:val="0"/>
      <w:marTop w:val="0"/>
      <w:marBottom w:val="0"/>
      <w:divBdr>
        <w:top w:val="none" w:sz="0" w:space="0" w:color="auto"/>
        <w:left w:val="none" w:sz="0" w:space="0" w:color="auto"/>
        <w:bottom w:val="none" w:sz="0" w:space="0" w:color="auto"/>
        <w:right w:val="none" w:sz="0" w:space="0" w:color="auto"/>
      </w:divBdr>
    </w:div>
    <w:div w:id="1436485572">
      <w:bodyDiv w:val="1"/>
      <w:marLeft w:val="0"/>
      <w:marRight w:val="0"/>
      <w:marTop w:val="0"/>
      <w:marBottom w:val="0"/>
      <w:divBdr>
        <w:top w:val="none" w:sz="0" w:space="0" w:color="auto"/>
        <w:left w:val="none" w:sz="0" w:space="0" w:color="auto"/>
        <w:bottom w:val="none" w:sz="0" w:space="0" w:color="auto"/>
        <w:right w:val="none" w:sz="0" w:space="0" w:color="auto"/>
      </w:divBdr>
    </w:div>
    <w:div w:id="2038388452">
      <w:bodyDiv w:val="1"/>
      <w:marLeft w:val="0"/>
      <w:marRight w:val="0"/>
      <w:marTop w:val="0"/>
      <w:marBottom w:val="0"/>
      <w:divBdr>
        <w:top w:val="none" w:sz="0" w:space="0" w:color="auto"/>
        <w:left w:val="none" w:sz="0" w:space="0" w:color="auto"/>
        <w:bottom w:val="none" w:sz="0" w:space="0" w:color="auto"/>
        <w:right w:val="none" w:sz="0" w:space="0" w:color="auto"/>
      </w:divBdr>
    </w:div>
    <w:div w:id="2090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8EDAE-1B1D-41B7-96C4-557BC16E0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726</Words>
  <Characters>4139</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TONY VLAHOS</dc:creator>
  <cp:keywords/>
  <dc:description/>
  <cp:lastModifiedBy>Dimitrios Thomakos</cp:lastModifiedBy>
  <cp:revision>3</cp:revision>
  <dcterms:created xsi:type="dcterms:W3CDTF">2024-02-18T14:12:00Z</dcterms:created>
  <dcterms:modified xsi:type="dcterms:W3CDTF">2024-02-18T20:47:00Z</dcterms:modified>
</cp:coreProperties>
</file>